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57502A" w:rsidRDefault="00013D97" w:rsidP="00653DD1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57502A">
        <w:rPr>
          <w:rFonts w:ascii="Sylfaen" w:hAnsi="Sylfaen"/>
          <w:b/>
          <w:sz w:val="28"/>
          <w:lang w:val="ka-GE"/>
        </w:rPr>
        <w:t>სახელ</w:t>
      </w:r>
      <w:r w:rsidR="005A44F5" w:rsidRPr="0057502A">
        <w:rPr>
          <w:rFonts w:ascii="Sylfaen" w:hAnsi="Sylfaen"/>
          <w:b/>
          <w:sz w:val="28"/>
          <w:lang w:val="ka-GE"/>
        </w:rPr>
        <w:t>მ</w:t>
      </w:r>
      <w:r w:rsidRPr="0057502A">
        <w:rPr>
          <w:rFonts w:ascii="Sylfaen" w:hAnsi="Sylfaen"/>
          <w:b/>
          <w:sz w:val="28"/>
          <w:lang w:val="ka-GE"/>
        </w:rPr>
        <w:t>წ</w:t>
      </w:r>
      <w:r w:rsidR="005A44F5" w:rsidRPr="0057502A">
        <w:rPr>
          <w:rFonts w:ascii="Sylfaen" w:hAnsi="Sylfaen"/>
          <w:b/>
          <w:sz w:val="28"/>
          <w:lang w:val="ka-GE"/>
        </w:rPr>
        <w:t>იფო ვალი</w:t>
      </w:r>
    </w:p>
    <w:p w:rsidR="0079765C" w:rsidRPr="0079765C" w:rsidRDefault="00CC46C4" w:rsidP="0079765C">
      <w:pPr>
        <w:spacing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  <w:r w:rsidRPr="0057502A">
        <w:rPr>
          <w:rFonts w:ascii="Sylfaen" w:hAnsi="Sylfaen" w:cs="Sylfaen"/>
          <w:sz w:val="24"/>
          <w:szCs w:val="18"/>
          <w:shd w:val="clear" w:color="auto" w:fill="FFFFFF"/>
        </w:rPr>
        <w:tab/>
      </w:r>
      <w:proofErr w:type="spellStart"/>
      <w:proofErr w:type="gramStart"/>
      <w:r w:rsidR="0079765C" w:rsidRPr="00055C79">
        <w:rPr>
          <w:rFonts w:ascii="Sylfaen" w:hAnsi="Sylfaen" w:cs="Sylfaen"/>
          <w:szCs w:val="21"/>
          <w:shd w:val="clear" w:color="auto" w:fill="FFFFFF"/>
        </w:rPr>
        <w:t>სახელმწიფო</w:t>
      </w:r>
      <w:proofErr w:type="spellEnd"/>
      <w:proofErr w:type="gram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79765C" w:rsidRPr="00055C79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79765C" w:rsidRPr="00055C79">
        <w:rPr>
          <w:rFonts w:ascii="Sylfaen" w:hAnsi="Sylfaen" w:cs="Sylfaen"/>
          <w:szCs w:val="21"/>
          <w:shd w:val="clear" w:color="auto" w:fill="FFFFFF"/>
        </w:rPr>
        <w:t>ნაშთი</w:t>
      </w:r>
      <w:proofErr w:type="spell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 2018 </w:t>
      </w:r>
      <w:proofErr w:type="spellStart"/>
      <w:r w:rsidR="0079765C" w:rsidRPr="00055C79">
        <w:rPr>
          <w:rFonts w:ascii="Sylfaen" w:hAnsi="Sylfaen" w:cs="Sylfaen"/>
          <w:szCs w:val="21"/>
          <w:shd w:val="clear" w:color="auto" w:fill="FFFFFF"/>
        </w:rPr>
        <w:t>წლის</w:t>
      </w:r>
      <w:proofErr w:type="spell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 30 </w:t>
      </w:r>
      <w:proofErr w:type="spellStart"/>
      <w:r w:rsidR="0079765C" w:rsidRPr="00055C79">
        <w:rPr>
          <w:rFonts w:ascii="Sylfaen" w:hAnsi="Sylfaen" w:cs="Sylfaen"/>
          <w:szCs w:val="21"/>
          <w:shd w:val="clear" w:color="auto" w:fill="FFFFFF"/>
        </w:rPr>
        <w:t>სექტემბრის</w:t>
      </w:r>
      <w:proofErr w:type="spell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79765C" w:rsidRPr="00055C79">
        <w:rPr>
          <w:rFonts w:ascii="Sylfaen" w:hAnsi="Sylfaen" w:cs="Sylfaen"/>
          <w:szCs w:val="21"/>
          <w:shd w:val="clear" w:color="auto" w:fill="FFFFFF"/>
        </w:rPr>
        <w:t>მდგომარეობით</w:t>
      </w:r>
      <w:proofErr w:type="spell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79765C" w:rsidRPr="00055C79">
        <w:rPr>
          <w:rFonts w:ascii="Sylfaen" w:hAnsi="Sylfaen" w:cs="Sylfaen"/>
          <w:szCs w:val="21"/>
          <w:shd w:val="clear" w:color="auto" w:fill="FFFFFF"/>
        </w:rPr>
        <w:t>შეადგენს</w:t>
      </w:r>
      <w:proofErr w:type="spell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 17,194.3 </w:t>
      </w:r>
      <w:proofErr w:type="spellStart"/>
      <w:r w:rsidR="0079765C" w:rsidRPr="00055C79">
        <w:rPr>
          <w:rFonts w:ascii="Sylfaen" w:hAnsi="Sylfaen" w:cs="Sylfaen"/>
          <w:szCs w:val="21"/>
          <w:shd w:val="clear" w:color="auto" w:fill="FFFFFF"/>
        </w:rPr>
        <w:t>მილიონ</w:t>
      </w:r>
      <w:proofErr w:type="spell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79765C" w:rsidRPr="00055C79">
        <w:rPr>
          <w:rFonts w:ascii="Sylfaen" w:hAnsi="Sylfaen" w:cs="Sylfaen"/>
          <w:szCs w:val="21"/>
          <w:shd w:val="clear" w:color="auto" w:fill="FFFFFF"/>
        </w:rPr>
        <w:t>ლარს</w:t>
      </w:r>
      <w:proofErr w:type="spell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proofErr w:type="gramStart"/>
      <w:r w:rsidR="0079765C" w:rsidRPr="00055C79">
        <w:rPr>
          <w:rFonts w:ascii="Sylfaen" w:hAnsi="Sylfaen" w:cs="Sylfaen"/>
          <w:szCs w:val="21"/>
          <w:shd w:val="clear" w:color="auto" w:fill="FFFFFF"/>
        </w:rPr>
        <w:t>მათ</w:t>
      </w:r>
      <w:proofErr w:type="spellEnd"/>
      <w:proofErr w:type="gram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79765C" w:rsidRPr="00055C79">
        <w:rPr>
          <w:rFonts w:ascii="Sylfaen" w:hAnsi="Sylfaen" w:cs="Sylfaen"/>
          <w:szCs w:val="21"/>
          <w:shd w:val="clear" w:color="auto" w:fill="FFFFFF"/>
        </w:rPr>
        <w:t>შორის</w:t>
      </w:r>
      <w:proofErr w:type="spell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79765C" w:rsidRPr="00055C79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79765C" w:rsidRPr="00055C79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 13,441.9 </w:t>
      </w:r>
      <w:proofErr w:type="spellStart"/>
      <w:r w:rsidR="0079765C" w:rsidRPr="00055C79">
        <w:rPr>
          <w:rFonts w:ascii="Sylfaen" w:hAnsi="Sylfaen" w:cs="Sylfaen"/>
          <w:szCs w:val="21"/>
          <w:shd w:val="clear" w:color="auto" w:fill="FFFFFF"/>
        </w:rPr>
        <w:t>მილიონ</w:t>
      </w:r>
      <w:proofErr w:type="spell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79765C" w:rsidRPr="00055C79">
        <w:rPr>
          <w:rFonts w:ascii="Sylfaen" w:hAnsi="Sylfaen" w:cs="Sylfaen"/>
          <w:szCs w:val="21"/>
          <w:shd w:val="clear" w:color="auto" w:fill="FFFFFF"/>
        </w:rPr>
        <w:t>ლარს</w:t>
      </w:r>
      <w:proofErr w:type="spell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, </w:t>
      </w:r>
      <w:proofErr w:type="spellStart"/>
      <w:r w:rsidR="0079765C" w:rsidRPr="00055C79">
        <w:rPr>
          <w:rFonts w:ascii="Sylfaen" w:hAnsi="Sylfaen" w:cs="Sylfaen"/>
          <w:szCs w:val="21"/>
          <w:shd w:val="clear" w:color="auto" w:fill="FFFFFF"/>
        </w:rPr>
        <w:t>ხოლო</w:t>
      </w:r>
      <w:proofErr w:type="spell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79765C" w:rsidRPr="00055C79">
        <w:rPr>
          <w:rFonts w:ascii="Sylfaen" w:hAnsi="Sylfaen" w:cs="Sylfaen"/>
          <w:szCs w:val="21"/>
          <w:shd w:val="clear" w:color="auto" w:fill="FFFFFF"/>
        </w:rPr>
        <w:t>საშინაო</w:t>
      </w:r>
      <w:proofErr w:type="spell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79765C" w:rsidRPr="00055C79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79765C" w:rsidRPr="00055C79">
        <w:rPr>
          <w:rFonts w:ascii="Sylfaen" w:hAnsi="Sylfaen" w:cs="Sylfaen"/>
          <w:szCs w:val="21"/>
          <w:shd w:val="clear" w:color="auto" w:fill="FFFFFF"/>
        </w:rPr>
        <w:t>ნაშთი</w:t>
      </w:r>
      <w:proofErr w:type="spell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 3,752.4 </w:t>
      </w:r>
      <w:proofErr w:type="spellStart"/>
      <w:r w:rsidR="0079765C" w:rsidRPr="00055C79">
        <w:rPr>
          <w:rFonts w:ascii="Sylfaen" w:hAnsi="Sylfaen" w:cs="Sylfaen"/>
          <w:szCs w:val="21"/>
          <w:shd w:val="clear" w:color="auto" w:fill="FFFFFF"/>
        </w:rPr>
        <w:t>მილიონ</w:t>
      </w:r>
      <w:proofErr w:type="spellEnd"/>
      <w:r w:rsidR="0079765C" w:rsidRPr="00055C79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79765C" w:rsidRPr="00055C79">
        <w:rPr>
          <w:rFonts w:ascii="Sylfaen" w:hAnsi="Sylfaen" w:cs="Sylfaen"/>
          <w:szCs w:val="21"/>
          <w:shd w:val="clear" w:color="auto" w:fill="FFFFFF"/>
        </w:rPr>
        <w:t>ლარს</w:t>
      </w:r>
      <w:proofErr w:type="spellEnd"/>
      <w:r w:rsidR="0079765C" w:rsidRPr="00055C79">
        <w:rPr>
          <w:rFonts w:ascii="Sylfaen" w:hAnsi="Sylfaen" w:cs="Sylfaen"/>
          <w:szCs w:val="21"/>
          <w:shd w:val="clear" w:color="auto" w:fill="FFFFFF"/>
        </w:rPr>
        <w:t>.</w:t>
      </w:r>
    </w:p>
    <w:p w:rsidR="0079765C" w:rsidRDefault="0079765C" w:rsidP="0079765C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proofErr w:type="spellStart"/>
      <w:proofErr w:type="gramStart"/>
      <w:r w:rsidRPr="0079765C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proofErr w:type="gram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ნაშთი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, 13,441.9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მილიონი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ლარი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,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სახელმწიფო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79%-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ია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proofErr w:type="gramStart"/>
      <w:r w:rsidRPr="0079765C">
        <w:rPr>
          <w:rFonts w:ascii="Sylfaen" w:hAnsi="Sylfaen" w:cs="Sylfaen"/>
          <w:szCs w:val="21"/>
          <w:shd w:val="clear" w:color="auto" w:fill="FFFFFF"/>
        </w:rPr>
        <w:t>აღნიშნული</w:t>
      </w:r>
      <w:proofErr w:type="spellEnd"/>
      <w:proofErr w:type="gram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>/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პარტნიორებისგან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ქვეყნისათვის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პრიორიტეტული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ინფრასტრუქტურული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პროექტების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დასაფინანსებლად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სახელმწიფო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პორტფელი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შეღავათიანია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ძირითადად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გრძელვადიანი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სესხებისგან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-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საშუალო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შეწონილი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საკონტრაქტო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ვადიანობა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შეადგენს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22.0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წელს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,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საშუალო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შეწონილი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ვადიანობა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დაფარვამდე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შეადგენს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დაახლოებით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8.8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წელს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,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ხოლო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სახელმწიფო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საშუალო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შეწონილი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განაკვეთი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Pr="0079765C">
        <w:rPr>
          <w:rFonts w:ascii="Sylfaen" w:hAnsi="Sylfaen" w:cs="Sylfaen"/>
          <w:szCs w:val="21"/>
          <w:shd w:val="clear" w:color="auto" w:fill="FFFFFF"/>
        </w:rPr>
        <w:t>შეადგენს</w:t>
      </w:r>
      <w:proofErr w:type="spellEnd"/>
      <w:r w:rsidRPr="0079765C">
        <w:rPr>
          <w:rFonts w:ascii="Sylfaen" w:hAnsi="Sylfaen" w:cs="Sylfaen"/>
          <w:szCs w:val="21"/>
          <w:shd w:val="clear" w:color="auto" w:fill="FFFFFF"/>
        </w:rPr>
        <w:t xml:space="preserve"> 2.24%-ს.</w:t>
      </w:r>
    </w:p>
    <w:p w:rsidR="006F4202" w:rsidRPr="0057502A" w:rsidRDefault="006F4202" w:rsidP="0079765C">
      <w:pPr>
        <w:spacing w:line="240" w:lineRule="auto"/>
        <w:jc w:val="both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57502A">
        <w:rPr>
          <w:rFonts w:ascii="Sylfaen" w:hAnsi="Sylfaen" w:cs="Sylfaen"/>
          <w:b/>
          <w:szCs w:val="18"/>
          <w:shd w:val="clear" w:color="auto" w:fill="FFFFFF"/>
          <w:lang w:val="ka-GE"/>
        </w:rPr>
        <w:t>სახელ</w:t>
      </w:r>
      <w:r w:rsidR="0078542F" w:rsidRPr="0057502A">
        <w:rPr>
          <w:rFonts w:ascii="Sylfaen" w:hAnsi="Sylfaen" w:cs="Sylfaen"/>
          <w:b/>
          <w:szCs w:val="18"/>
          <w:shd w:val="clear" w:color="auto" w:fill="FFFFFF"/>
          <w:lang w:val="ka-GE"/>
        </w:rPr>
        <w:t>მ</w:t>
      </w:r>
      <w:r w:rsidRPr="0057502A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წიფო ვალის </w:t>
      </w:r>
      <w:r w:rsidRPr="0054322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სტრუქტურა </w:t>
      </w:r>
      <w:r w:rsidR="00572781" w:rsidRPr="00543222">
        <w:rPr>
          <w:rFonts w:ascii="Sylfaen" w:hAnsi="Sylfaen"/>
          <w:b/>
          <w:szCs w:val="18"/>
          <w:shd w:val="clear" w:color="auto" w:fill="FFFFFF"/>
          <w:lang w:val="ka-GE"/>
        </w:rPr>
        <w:t>201</w:t>
      </w:r>
      <w:r w:rsidR="00AB7802">
        <w:rPr>
          <w:rFonts w:ascii="Sylfaen" w:hAnsi="Sylfaen"/>
          <w:b/>
          <w:szCs w:val="18"/>
          <w:shd w:val="clear" w:color="auto" w:fill="FFFFFF"/>
        </w:rPr>
        <w:t>8</w:t>
      </w:r>
      <w:r w:rsidR="00572781" w:rsidRPr="00543222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Pr="00543222">
        <w:rPr>
          <w:rFonts w:ascii="Sylfaen" w:hAnsi="Sylfaen"/>
          <w:b/>
          <w:szCs w:val="18"/>
          <w:shd w:val="clear" w:color="auto" w:fill="FFFFFF"/>
          <w:lang w:val="ka-GE"/>
        </w:rPr>
        <w:t xml:space="preserve">წლის </w:t>
      </w:r>
      <w:r w:rsidRPr="00251FC3">
        <w:rPr>
          <w:rFonts w:ascii="Sylfaen" w:hAnsi="Sylfaen"/>
          <w:b/>
          <w:szCs w:val="18"/>
          <w:shd w:val="clear" w:color="auto" w:fill="FFFFFF"/>
          <w:lang w:val="ka-GE"/>
        </w:rPr>
        <w:t>3</w:t>
      </w:r>
      <w:r w:rsidR="0079765C">
        <w:rPr>
          <w:rFonts w:ascii="Sylfaen" w:hAnsi="Sylfaen"/>
          <w:b/>
          <w:szCs w:val="18"/>
          <w:shd w:val="clear" w:color="auto" w:fill="FFFFFF"/>
        </w:rPr>
        <w:t>0</w:t>
      </w:r>
      <w:r w:rsidRPr="00251FC3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79765C">
        <w:rPr>
          <w:rFonts w:ascii="Sylfaen" w:hAnsi="Sylfaen"/>
          <w:b/>
          <w:szCs w:val="21"/>
          <w:shd w:val="clear" w:color="auto" w:fill="FFFFFF"/>
          <w:lang w:val="ka-GE"/>
        </w:rPr>
        <w:t>სექტემბრის</w:t>
      </w:r>
      <w:r w:rsidR="002A3C73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Pr="00251FC3">
        <w:rPr>
          <w:rFonts w:ascii="Sylfaen" w:hAnsi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57502A" w:rsidRDefault="00CC1535" w:rsidP="00653DD1">
      <w:pPr>
        <w:spacing w:line="240" w:lineRule="auto"/>
        <w:jc w:val="both"/>
        <w:rPr>
          <w:rFonts w:ascii="Sylfaen" w:hAnsi="Sylfaen"/>
          <w:lang w:val="ka-GE"/>
        </w:rPr>
      </w:pPr>
      <w:r w:rsidRPr="00002FF8">
        <w:rPr>
          <w:rFonts w:ascii="Sylfaen" w:hAnsi="Sylfaen"/>
          <w:noProof/>
          <w:color w:val="7030A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417835" wp14:editId="13AD4CD8">
                <wp:simplePos x="0" y="0"/>
                <wp:positionH relativeFrom="column">
                  <wp:posOffset>3925955</wp:posOffset>
                </wp:positionH>
                <wp:positionV relativeFrom="paragraph">
                  <wp:posOffset>701482</wp:posOffset>
                </wp:positionV>
                <wp:extent cx="2620029" cy="626745"/>
                <wp:effectExtent l="5715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4331" w:rsidRPr="00DE4001" w:rsidRDefault="00E04331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საშუალო შეწონილი</w:t>
                              </w: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E04331" w:rsidRPr="00372FD5" w:rsidRDefault="00E04331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color w:val="8064A2" w:themeColor="accent4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372FD5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372FD5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372FD5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72FD5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</w:rPr>
                                <w:t>2.2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4</w:t>
                              </w:r>
                              <w:r w:rsidRPr="00372FD5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:rsidR="00E04331" w:rsidRPr="00372FD5" w:rsidRDefault="00E04331" w:rsidP="00372FD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372FD5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საკონტრაქტო ვადიანობა </w:t>
                              </w:r>
                              <w:r w:rsidRPr="00372FD5">
                                <w:rPr>
                                  <w:rFonts w:ascii="Sylfaen" w:hAnsi="Sylfaen" w:cstheme="minorBidi"/>
                                  <w:b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.0 </w:t>
                              </w:r>
                              <w:r w:rsidRPr="00372FD5">
                                <w:rPr>
                                  <w:rFonts w:ascii="Sylfaen" w:hAnsi="Sylfaen" w:cstheme="minorBidi"/>
                                  <w:b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  <w:p w:rsidR="00E04331" w:rsidRPr="00372FD5" w:rsidRDefault="00E04331" w:rsidP="00372FD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372FD5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დარჩენილი ვადიანობა </w:t>
                              </w:r>
                              <w:r w:rsidRPr="00372FD5">
                                <w:rPr>
                                  <w:rFonts w:ascii="Sylfaen" w:hAnsi="Sylfaen" w:cstheme="minorBidi"/>
                                  <w:b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.8</w:t>
                              </w:r>
                              <w:r w:rsidRPr="00372FD5">
                                <w:rPr>
                                  <w:rFonts w:ascii="Sylfaen" w:hAnsi="Sylfaen" w:cstheme="minorBidi"/>
                                  <w:b/>
                                  <w:color w:val="8064A2" w:themeColor="accent4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solidFill>
                            <a:srgbClr val="7030A0"/>
                          </a:solidFill>
                          <a:ln cap="rnd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17835" id="Group 6" o:spid="_x0000_s1026" style="position:absolute;left:0;text-align:left;margin-left:309.15pt;margin-top:55.25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E04331" w:rsidRPr="00DE4001" w:rsidRDefault="00E04331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საშუალო შეწონილი</w:t>
                        </w: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E04331" w:rsidRPr="00372FD5" w:rsidRDefault="00E04331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color w:val="8064A2" w:themeColor="accent4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372FD5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gramEnd"/>
                        <w:r w:rsidRPr="00372FD5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372FD5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372FD5">
                          <w:rPr>
                            <w:rFonts w:ascii="Sylfaen" w:hAnsi="Sylfaen" w:cstheme="minorBidi"/>
                            <w:b/>
                            <w:bCs/>
                            <w:color w:val="8064A2" w:themeColor="accent4"/>
                            <w:kern w:val="24"/>
                            <w:sz w:val="16"/>
                            <w:szCs w:val="16"/>
                          </w:rPr>
                          <w:t>2.2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8064A2" w:themeColor="accent4"/>
                            <w:kern w:val="24"/>
                            <w:sz w:val="16"/>
                            <w:szCs w:val="16"/>
                            <w:lang w:val="ka-GE"/>
                          </w:rPr>
                          <w:t>4</w:t>
                        </w:r>
                        <w:r w:rsidRPr="00372FD5">
                          <w:rPr>
                            <w:rFonts w:ascii="Sylfaen" w:hAnsi="Sylfaen" w:cstheme="minorBidi"/>
                            <w:b/>
                            <w:bCs/>
                            <w:color w:val="8064A2" w:themeColor="accent4"/>
                            <w:kern w:val="24"/>
                            <w:sz w:val="16"/>
                            <w:szCs w:val="16"/>
                          </w:rPr>
                          <w:t>%</w:t>
                        </w:r>
                      </w:p>
                      <w:p w:rsidR="00E04331" w:rsidRPr="00372FD5" w:rsidRDefault="00E04331" w:rsidP="00372FD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372FD5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საკონტრაქტო ვადიანობა </w:t>
                        </w:r>
                        <w:r w:rsidRPr="00372FD5">
                          <w:rPr>
                            <w:rFonts w:ascii="Sylfaen" w:hAnsi="Sylfaen" w:cstheme="minorBidi"/>
                            <w:b/>
                            <w:color w:val="8064A2" w:themeColor="accent4"/>
                            <w:kern w:val="24"/>
                            <w:sz w:val="16"/>
                            <w:szCs w:val="16"/>
                            <w:lang w:val="ka-GE"/>
                          </w:rPr>
                          <w:t>22</w:t>
                        </w:r>
                        <w:r>
                          <w:rPr>
                            <w:rFonts w:ascii="Sylfaen" w:hAnsi="Sylfaen" w:cstheme="minorBidi"/>
                            <w:b/>
                            <w:color w:val="8064A2" w:themeColor="accent4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.0 </w:t>
                        </w:r>
                        <w:r w:rsidRPr="00372FD5">
                          <w:rPr>
                            <w:rFonts w:ascii="Sylfaen" w:hAnsi="Sylfaen" w:cstheme="minorBidi"/>
                            <w:b/>
                            <w:color w:val="8064A2" w:themeColor="accent4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  <w:p w:rsidR="00E04331" w:rsidRPr="00372FD5" w:rsidRDefault="00E04331" w:rsidP="00372FD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372FD5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დარჩენილი ვადიანობა </w:t>
                        </w:r>
                        <w:r w:rsidRPr="00372FD5">
                          <w:rPr>
                            <w:rFonts w:ascii="Sylfaen" w:hAnsi="Sylfaen" w:cstheme="minorBidi"/>
                            <w:b/>
                            <w:color w:val="8064A2" w:themeColor="accent4"/>
                            <w:kern w:val="24"/>
                            <w:sz w:val="16"/>
                            <w:szCs w:val="16"/>
                            <w:lang w:val="ka-GE"/>
                          </w:rPr>
                          <w:t>8</w:t>
                        </w:r>
                        <w:r>
                          <w:rPr>
                            <w:rFonts w:ascii="Sylfaen" w:hAnsi="Sylfaen" w:cstheme="minorBidi"/>
                            <w:b/>
                            <w:color w:val="8064A2" w:themeColor="accent4"/>
                            <w:kern w:val="24"/>
                            <w:sz w:val="16"/>
                            <w:szCs w:val="16"/>
                            <w:lang w:val="ka-GE"/>
                          </w:rPr>
                          <w:t>.8</w:t>
                        </w:r>
                        <w:r w:rsidRPr="00372FD5">
                          <w:rPr>
                            <w:rFonts w:ascii="Sylfaen" w:hAnsi="Sylfaen" w:cstheme="minorBidi"/>
                            <w:b/>
                            <w:color w:val="8064A2" w:themeColor="accent4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" fillcolor="#7030a0" strokecolor="#7030a0">
                  <v:stroke endcap="round"/>
                  <v:shadow on="t" color="black" opacity="22937f" origin=",.5" offset="0,.63889mm"/>
                </v:shape>
              </v:group>
            </w:pict>
          </mc:Fallback>
        </mc:AlternateContent>
      </w:r>
      <w:r w:rsidR="00764192" w:rsidRPr="0057502A">
        <w:rPr>
          <w:rFonts w:ascii="Sylfaen" w:hAnsi="Sylfaen"/>
          <w:lang w:val="ka-GE"/>
        </w:rPr>
        <w:t xml:space="preserve"> </w:t>
      </w:r>
      <w:r w:rsidR="0079765C" w:rsidRPr="004C0704">
        <w:rPr>
          <w:noProof/>
        </w:rPr>
        <w:drawing>
          <wp:inline distT="0" distB="0" distL="0" distR="0" wp14:anchorId="22D33296" wp14:editId="1B487604">
            <wp:extent cx="4218323" cy="21431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4202" w:rsidRPr="001C5235" w:rsidRDefault="0079765C" w:rsidP="00653DD1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 w:rsidRPr="0079765C">
        <w:rPr>
          <w:noProof/>
        </w:rPr>
        <w:t xml:space="preserve">2018 </w:t>
      </w:r>
      <w:r w:rsidRPr="0079765C">
        <w:rPr>
          <w:rFonts w:ascii="Sylfaen" w:hAnsi="Sylfaen" w:cs="Sylfaen"/>
          <w:noProof/>
        </w:rPr>
        <w:t>წლის</w:t>
      </w:r>
      <w:r w:rsidRPr="0079765C">
        <w:rPr>
          <w:noProof/>
        </w:rPr>
        <w:t xml:space="preserve"> 30 </w:t>
      </w:r>
      <w:r w:rsidRPr="0079765C">
        <w:rPr>
          <w:rFonts w:ascii="Sylfaen" w:hAnsi="Sylfaen" w:cs="Sylfaen"/>
          <w:noProof/>
        </w:rPr>
        <w:t>სექტემბრის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მდგომარეობით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სახელმწიფო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საგარეო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ვალის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პორტფელის</w:t>
      </w:r>
      <w:r w:rsidRPr="0079765C">
        <w:rPr>
          <w:noProof/>
        </w:rPr>
        <w:t xml:space="preserve"> 62% </w:t>
      </w:r>
      <w:r w:rsidRPr="0079765C">
        <w:rPr>
          <w:rFonts w:ascii="Sylfaen" w:hAnsi="Sylfaen" w:cs="Sylfaen"/>
          <w:noProof/>
        </w:rPr>
        <w:t>შედგება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ფიქსირებული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საპროცენტო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განაკვეთის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მქონე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კრედიტებისგან</w:t>
      </w:r>
      <w:r w:rsidRPr="0079765C">
        <w:rPr>
          <w:noProof/>
        </w:rPr>
        <w:t xml:space="preserve">. </w:t>
      </w:r>
      <w:r w:rsidRPr="0079765C">
        <w:rPr>
          <w:rFonts w:ascii="Sylfaen" w:hAnsi="Sylfaen" w:cs="Sylfaen"/>
          <w:noProof/>
        </w:rPr>
        <w:t>ეს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გარემოება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ხელს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უწყობს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საქართველოს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სახელმწიფო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საგარეო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ვალის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მომსახურების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პარამეტრების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დაცულობას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საპროცენტო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განაკვეთების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ეგზოგენური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რყევებისგან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და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უზრუნველყოფს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ვალის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მომსახურების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ხარჯების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შენარჩუნებას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დაბალ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დონეზე</w:t>
      </w:r>
      <w:r w:rsidRPr="0079765C">
        <w:rPr>
          <w:noProof/>
        </w:rPr>
        <w:t xml:space="preserve">. </w:t>
      </w:r>
      <w:r w:rsidRPr="0079765C">
        <w:rPr>
          <w:rFonts w:ascii="Sylfaen" w:hAnsi="Sylfaen" w:cs="Sylfaen"/>
          <w:noProof/>
        </w:rPr>
        <w:t>სახელმწიფო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საგარეო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ვალის</w:t>
      </w:r>
      <w:r w:rsidRPr="0079765C">
        <w:rPr>
          <w:noProof/>
        </w:rPr>
        <w:t xml:space="preserve"> 39% SDR-</w:t>
      </w:r>
      <w:r w:rsidRPr="0079765C">
        <w:rPr>
          <w:rFonts w:ascii="Sylfaen" w:hAnsi="Sylfaen" w:cs="Sylfaen"/>
          <w:noProof/>
        </w:rPr>
        <w:t>შია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დენომინირებული</w:t>
      </w:r>
      <w:r w:rsidRPr="0079765C">
        <w:rPr>
          <w:noProof/>
        </w:rPr>
        <w:t xml:space="preserve"> (</w:t>
      </w:r>
      <w:r w:rsidRPr="0079765C">
        <w:rPr>
          <w:rFonts w:ascii="Sylfaen" w:hAnsi="Sylfaen" w:cs="Sylfaen"/>
          <w:noProof/>
        </w:rPr>
        <w:t>ნასესხობის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სპეციალური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უფლება</w:t>
      </w:r>
      <w:r w:rsidRPr="0079765C">
        <w:rPr>
          <w:noProof/>
        </w:rPr>
        <w:t xml:space="preserve">) </w:t>
      </w:r>
      <w:r w:rsidRPr="0079765C">
        <w:rPr>
          <w:rFonts w:ascii="Sylfaen" w:hAnsi="Sylfaen" w:cs="Sylfaen"/>
          <w:noProof/>
        </w:rPr>
        <w:t>მსოფლიო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ბანკის</w:t>
      </w:r>
      <w:r w:rsidRPr="0079765C">
        <w:rPr>
          <w:noProof/>
        </w:rPr>
        <w:t xml:space="preserve">, </w:t>
      </w:r>
      <w:r w:rsidRPr="0079765C">
        <w:rPr>
          <w:rFonts w:ascii="Sylfaen" w:hAnsi="Sylfaen" w:cs="Sylfaen"/>
          <w:noProof/>
        </w:rPr>
        <w:t>საერთაშორისო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სავალუტო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ფონდის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და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აზიის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განვითარების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ბანკის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ფინანსური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რესურსების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დიდი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წილის</w:t>
      </w:r>
      <w:r w:rsidRPr="0079765C">
        <w:rPr>
          <w:noProof/>
        </w:rPr>
        <w:t xml:space="preserve"> </w:t>
      </w:r>
      <w:r w:rsidRPr="0079765C">
        <w:rPr>
          <w:rFonts w:ascii="Sylfaen" w:hAnsi="Sylfaen" w:cs="Sylfaen"/>
          <w:noProof/>
        </w:rPr>
        <w:t>გამო</w:t>
      </w:r>
      <w:r w:rsidRPr="0079765C">
        <w:rPr>
          <w:noProof/>
        </w:rPr>
        <w:t>.</w:t>
      </w:r>
    </w:p>
    <w:p w:rsidR="00B7509F" w:rsidRDefault="00570C98" w:rsidP="00653DD1">
      <w:pPr>
        <w:tabs>
          <w:tab w:val="left" w:pos="360"/>
        </w:tabs>
        <w:spacing w:line="240" w:lineRule="auto"/>
        <w:rPr>
          <w:rFonts w:ascii="Sylfaen" w:hAnsi="Sylfaen"/>
        </w:rPr>
      </w:pPr>
      <w:r w:rsidRPr="0057502A">
        <w:rPr>
          <w:rFonts w:ascii="Sylfaen" w:hAnsi="Sylfaen"/>
          <w:lang w:val="ka-GE"/>
        </w:rPr>
        <w:t xml:space="preserve">  </w:t>
      </w:r>
    </w:p>
    <w:p w:rsidR="006042C4" w:rsidRDefault="0079765C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79765C">
        <w:rPr>
          <w:rFonts w:ascii="Sylfaen" w:hAnsi="Sylfaen"/>
          <w:b/>
          <w:noProof/>
        </w:rPr>
        <w:drawing>
          <wp:anchor distT="0" distB="0" distL="114300" distR="114300" simplePos="0" relativeHeight="251664384" behindDoc="1" locked="0" layoutInCell="1" allowOverlap="1" wp14:anchorId="18EC25D7" wp14:editId="36746739">
            <wp:simplePos x="0" y="0"/>
            <wp:positionH relativeFrom="column">
              <wp:posOffset>3238086</wp:posOffset>
            </wp:positionH>
            <wp:positionV relativeFrom="paragraph">
              <wp:posOffset>28106</wp:posOffset>
            </wp:positionV>
            <wp:extent cx="2847975" cy="1905000"/>
            <wp:effectExtent l="0" t="0" r="0" b="0"/>
            <wp:wrapNone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79765C">
        <w:rPr>
          <w:rFonts w:ascii="Sylfaen" w:hAnsi="Sylfaen"/>
          <w:b/>
          <w:noProof/>
        </w:rPr>
        <w:drawing>
          <wp:anchor distT="0" distB="0" distL="114300" distR="114300" simplePos="0" relativeHeight="251663360" behindDoc="0" locked="0" layoutInCell="1" allowOverlap="1" wp14:anchorId="7C69E5E3" wp14:editId="05A53273">
            <wp:simplePos x="0" y="0"/>
            <wp:positionH relativeFrom="page">
              <wp:posOffset>868680</wp:posOffset>
            </wp:positionH>
            <wp:positionV relativeFrom="paragraph">
              <wp:posOffset>33324</wp:posOffset>
            </wp:positionV>
            <wp:extent cx="2466975" cy="1981200"/>
            <wp:effectExtent l="0" t="0" r="28575" b="0"/>
            <wp:wrapThrough wrapText="bothSides">
              <wp:wrapPolygon edited="0">
                <wp:start x="0" y="0"/>
                <wp:lineTo x="0" y="21392"/>
                <wp:lineTo x="21683" y="21392"/>
                <wp:lineTo x="21683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12E" w:rsidRDefault="0058312E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p w:rsidR="00653DD1" w:rsidRDefault="00653DD1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p w:rsidR="00653DD1" w:rsidRDefault="00653DD1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p w:rsidR="00653DD1" w:rsidRDefault="00653DD1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p w:rsidR="00886733" w:rsidRDefault="00886733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p w:rsidR="00886733" w:rsidRDefault="00886733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p w:rsidR="00886733" w:rsidRPr="00653DD1" w:rsidRDefault="00886733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p w:rsidR="0079765C" w:rsidRDefault="0079765C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 w:type="page"/>
      </w:r>
    </w:p>
    <w:p w:rsidR="00071D1D" w:rsidRDefault="00071D1D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  <w:r w:rsidRPr="00B04141">
        <w:rPr>
          <w:rFonts w:ascii="Sylfaen" w:hAnsi="Sylfaen"/>
          <w:b/>
          <w:lang w:val="ka-GE"/>
        </w:rPr>
        <w:t>სახელმწიფო საგარეო ვალის სტრუქტურა - 201</w:t>
      </w:r>
      <w:r w:rsidR="00AB7802">
        <w:rPr>
          <w:rFonts w:ascii="Sylfaen" w:hAnsi="Sylfaen"/>
          <w:b/>
        </w:rPr>
        <w:t>8</w:t>
      </w:r>
      <w:r w:rsidRPr="00B04141">
        <w:rPr>
          <w:rFonts w:ascii="Sylfaen" w:hAnsi="Sylfaen"/>
          <w:b/>
          <w:lang w:val="ka-GE"/>
        </w:rPr>
        <w:t xml:space="preserve"> წლის 3</w:t>
      </w:r>
      <w:r w:rsidR="0079765C">
        <w:rPr>
          <w:rFonts w:ascii="Sylfaen" w:hAnsi="Sylfaen"/>
          <w:b/>
          <w:lang w:val="ka-GE"/>
        </w:rPr>
        <w:t>0</w:t>
      </w:r>
      <w:r w:rsidRPr="00B04141">
        <w:rPr>
          <w:rFonts w:ascii="Sylfaen" w:hAnsi="Sylfaen"/>
          <w:b/>
          <w:lang w:val="ka-GE"/>
        </w:rPr>
        <w:t xml:space="preserve"> </w:t>
      </w:r>
      <w:r w:rsidR="0079765C">
        <w:rPr>
          <w:rFonts w:ascii="Sylfaen" w:hAnsi="Sylfaen"/>
          <w:b/>
          <w:lang w:val="ka-GE"/>
        </w:rPr>
        <w:t>სექტემბრის</w:t>
      </w:r>
      <w:r w:rsidRPr="00B04141">
        <w:rPr>
          <w:rFonts w:ascii="Sylfaen" w:hAnsi="Sylfaen"/>
          <w:b/>
          <w:lang w:val="ka-GE"/>
        </w:rPr>
        <w:t xml:space="preserve"> მდგომარეობით</w:t>
      </w:r>
    </w:p>
    <w:p w:rsidR="00312E0E" w:rsidRPr="00312E0E" w:rsidRDefault="00312E0E" w:rsidP="00653DD1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4"/>
        <w:gridCol w:w="737"/>
        <w:gridCol w:w="1254"/>
        <w:gridCol w:w="1189"/>
        <w:gridCol w:w="1319"/>
        <w:gridCol w:w="952"/>
        <w:gridCol w:w="887"/>
      </w:tblGrid>
      <w:tr w:rsidR="0079765C" w:rsidTr="0079765C">
        <w:trPr>
          <w:trHeight w:hRule="exact" w:val="708"/>
          <w:tblHeader/>
        </w:trPr>
        <w:tc>
          <w:tcPr>
            <w:tcW w:w="1679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კრედიტორი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კრედიტის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ვალუტა</w:t>
            </w:r>
            <w:proofErr w:type="spellEnd"/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აშშ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დოლარი</w:t>
            </w:r>
            <w:proofErr w:type="spellEnd"/>
          </w:p>
        </w:tc>
        <w:tc>
          <w:tcPr>
            <w:tcW w:w="623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ლარი</w:t>
            </w:r>
            <w:proofErr w:type="spellEnd"/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30.09.2018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შეწონილი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</w:tr>
      <w:tr w:rsidR="0079765C" w:rsidTr="0079765C">
        <w:trPr>
          <w:trHeight w:hRule="exact" w:val="227"/>
        </w:trPr>
        <w:tc>
          <w:tcPr>
            <w:tcW w:w="2065" w:type="pct"/>
            <w:gridSpan w:val="2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სახელმწიფო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საგარეო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657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     5 140 098 </w:t>
            </w:r>
          </w:p>
        </w:tc>
        <w:tc>
          <w:tcPr>
            <w:tcW w:w="623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     13 441 870 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498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465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</w:tr>
      <w:tr w:rsidR="0079765C" w:rsidTr="0079765C">
        <w:trPr>
          <w:trHeight w:hRule="exact" w:val="227"/>
        </w:trPr>
        <w:tc>
          <w:tcPr>
            <w:tcW w:w="2065" w:type="pct"/>
            <w:gridSpan w:val="2"/>
            <w:shd w:val="clear" w:color="000000" w:fill="BFBFB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მრავალმხრივი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657" w:type="pct"/>
            <w:shd w:val="clear" w:color="000000" w:fill="BFBFBF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3 789 141 </w:t>
            </w:r>
          </w:p>
        </w:tc>
        <w:tc>
          <w:tcPr>
            <w:tcW w:w="623" w:type="pct"/>
            <w:shd w:val="clear" w:color="000000" w:fill="BFBFBF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9 908 983 </w:t>
            </w:r>
          </w:p>
        </w:tc>
        <w:tc>
          <w:tcPr>
            <w:tcW w:w="691" w:type="pct"/>
            <w:shd w:val="clear" w:color="000000" w:fill="BFBFB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pct"/>
            <w:shd w:val="clear" w:color="000000" w:fill="BFBFB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5" w:type="pct"/>
            <w:shd w:val="clear" w:color="000000" w:fill="BFBFB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ასოციაცია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(WB - IDA)</w:t>
            </w:r>
          </w:p>
        </w:tc>
        <w:tc>
          <w:tcPr>
            <w:tcW w:w="386" w:type="pct"/>
            <w:vMerge w:val="restar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815 762 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2 133 298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0.119%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258 900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677 050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0.101%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9 552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24 979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2.15%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 w:val="restart"/>
            <w:shd w:val="clear" w:color="auto" w:fill="auto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ასოციაცია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(WB - IBRD)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106 435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278 337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>
              <w:rPr>
                <w:rFonts w:ascii="Calibri" w:hAnsi="Calibri" w:cs="Calibri"/>
                <w:sz w:val="12"/>
                <w:szCs w:val="12"/>
              </w:rPr>
              <w:t>EURIBOR + Var. Spread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0.70%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0.014%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180 626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472 355 </w:t>
            </w:r>
          </w:p>
        </w:tc>
        <w:tc>
          <w:tcPr>
            <w:tcW w:w="691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LIBOR + Variable Spread 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2.80%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0.098%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32 336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84 561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2.96%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0.019%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47 828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125 076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0.028%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115 638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302 404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3.17%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0.071%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62 644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163 820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3.19%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0.039%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147 190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384 915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3.20%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0.092%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10 000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26 151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3.25%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31 065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81 238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3.34%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0.020%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23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59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3.41%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120 000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313 812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3.45%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0.081%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10 897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28 496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3.47%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18 724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48 964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3.55%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0.013%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სოფლის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მეურნეობის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ფონდი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(IFAD)</w:t>
            </w:r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19 304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50 483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5 836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15 261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4 640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12 134 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(SDR LIBOR + IBRD Variable Spread)/2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სავალუტო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ფონდი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(IMF EFF,NBG)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125 573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328 385 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0.049%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საერთაშორისო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სავალუტო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ფონდი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(SBA )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62 786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164 192 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0.024%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ევროგაერთიანება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(EU)</w:t>
            </w:r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11 589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30 306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0.52%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15 066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39 398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1.16%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ევროპის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რეკონსტრუქციის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და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(EBRD)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125 654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328 597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EURIBOR+ 1%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0.78%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0.019%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 w:val="restart"/>
            <w:shd w:val="clear" w:color="auto" w:fill="auto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აზიის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(ADB)</w:t>
            </w:r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65 408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171 048 </w:t>
            </w:r>
          </w:p>
        </w:tc>
        <w:tc>
          <w:tcPr>
            <w:tcW w:w="691" w:type="pct"/>
            <w:vMerge w:val="restar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0.013%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379 256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991 792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1.50%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0.111%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45 235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118 295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0.014%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217 443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568 634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0.085%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30 926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80 875 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Fixed Spread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58 333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152 547 </w:t>
            </w:r>
          </w:p>
        </w:tc>
        <w:tc>
          <w:tcPr>
            <w:tcW w:w="691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LIBOR + Fixed Spread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2.86%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0.032%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68 386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178 837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2.91%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0.039%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11 770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30 780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2.98%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15 333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40 098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50 000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130 755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3.02%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0.029%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39 134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102 339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3.10%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0.024%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38 424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100 483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3.11%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0.023%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4 250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11 114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3.12%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38 453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100 557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3.15%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0.024%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3 019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7 895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3.20%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auto" w:fill="auto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აზიის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ინფრასტრუქტურის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განვითარების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(AIIB)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11 940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31 225 </w:t>
            </w:r>
          </w:p>
        </w:tc>
        <w:tc>
          <w:tcPr>
            <w:tcW w:w="691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LIBOR + Variable Spread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3.70%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ევროპის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საინვესტიციო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ბანკი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(EIB)</w:t>
            </w:r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9 679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25 310 </w:t>
            </w:r>
          </w:p>
        </w:tc>
        <w:tc>
          <w:tcPr>
            <w:tcW w:w="691" w:type="pct"/>
            <w:vMerge w:val="restar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0.86%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23 178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60 612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0.87%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11 589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30 306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26 916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70 388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1.69%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23 178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60 612 </w:t>
            </w:r>
          </w:p>
        </w:tc>
        <w:tc>
          <w:tcPr>
            <w:tcW w:w="691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1.94%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86 916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227 295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EURIBOR+0.183%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17 383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45 459 </w:t>
            </w:r>
          </w:p>
        </w:tc>
        <w:tc>
          <w:tcPr>
            <w:tcW w:w="691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EURIBOR+0.505%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23 178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60 612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+ 0.75%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0.23%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77 896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203 705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EURIBOR+0.75%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0.47%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15 323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40 071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EURIBOR+0.81%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0.48%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55 055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143 974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+ 0.82%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0.54%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3 477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9 092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+ 0.858%</w:t>
            </w:r>
          </w:p>
        </w:tc>
        <w:tc>
          <w:tcPr>
            <w:tcW w:w="498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0.58%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000000" w:fill="BFBFB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ორმხრივი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386" w:type="pct"/>
            <w:shd w:val="clear" w:color="000000" w:fill="BFBFB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7" w:type="pct"/>
            <w:shd w:val="clear" w:color="000000" w:fill="BFBFBF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849 013 </w:t>
            </w:r>
          </w:p>
        </w:tc>
        <w:tc>
          <w:tcPr>
            <w:tcW w:w="623" w:type="pct"/>
            <w:shd w:val="clear" w:color="000000" w:fill="BFBFBF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2 220 255 </w:t>
            </w:r>
          </w:p>
        </w:tc>
        <w:tc>
          <w:tcPr>
            <w:tcW w:w="691" w:type="pct"/>
            <w:shd w:val="clear" w:color="000000" w:fill="BFBFB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pct"/>
            <w:shd w:val="clear" w:color="auto" w:fill="BFBFBF" w:themeFill="background1" w:themeFillShade="B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5" w:type="pct"/>
            <w:shd w:val="clear" w:color="000000" w:fill="BFBFB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14 695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38 428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7 976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20 857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211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552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15 297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40 002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6 155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16 095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63 567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166 234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0.049%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9 023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23 596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უზბეკეთი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160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418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უკრაინა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146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382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18 685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48 863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0.015%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ჩინეთი</w:t>
            </w:r>
            <w:proofErr w:type="spellEnd"/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CNY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1 743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4 559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გერმანია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KfW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1 559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4 077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EURIBOR+ 0.3%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133 512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349 148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0.019%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11 920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31 172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646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</w:t>
            </w:r>
            <w:r>
              <w:rPr>
                <w:rFonts w:ascii="Sylfaen" w:hAnsi="Sylfaen" w:cs="Calibri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1 690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1.90%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36 504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95 462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0.014%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29 585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77 369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2.20%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0.013%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11 878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31 062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4.20%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0.010%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37 664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98 494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5.70%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0.042%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13 697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35 819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6.68%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0.018%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JPY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25 372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66 351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135 976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355 592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0.017%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1 632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4 269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1.30%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23 060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60 305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21 766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56 919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2.30%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0.010%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კუვეიტი</w:t>
            </w:r>
            <w:proofErr w:type="spellEnd"/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KWD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63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166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2.50%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10 807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28 263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ნიდერლანდები</w:t>
            </w:r>
            <w:proofErr w:type="spellEnd"/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159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416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4.20%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772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2 018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5.10%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აშშ</w:t>
            </w:r>
            <w:proofErr w:type="spellEnd"/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268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701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1.50%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8 530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22 307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5 351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13 992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2.25%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7 657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20 024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2.50%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386" w:type="pct"/>
            <w:vMerge w:val="restar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13 704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35 838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0.17%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23 952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62 636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1.10%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19 129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50 023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1.27%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49 776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130 169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1.41%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0.014%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69 533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181 836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+ 0.6%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0.33%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9 794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25 612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+ 1.8%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1.80%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6" w:type="pct"/>
            <w:vMerge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7 089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18 537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EURIBOR + 2.1%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2.10%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000000" w:fill="BFBFB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ფასიანი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ქაღალდები</w:t>
            </w:r>
            <w:proofErr w:type="spellEnd"/>
          </w:p>
        </w:tc>
        <w:tc>
          <w:tcPr>
            <w:tcW w:w="386" w:type="pct"/>
            <w:shd w:val="clear" w:color="000000" w:fill="BFBFB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57" w:type="pct"/>
            <w:shd w:val="clear" w:color="000000" w:fill="BFBFBF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500 000 </w:t>
            </w:r>
          </w:p>
        </w:tc>
        <w:tc>
          <w:tcPr>
            <w:tcW w:w="623" w:type="pct"/>
            <w:shd w:val="clear" w:color="000000" w:fill="BFBFBF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1 307 550 </w:t>
            </w:r>
          </w:p>
        </w:tc>
        <w:tc>
          <w:tcPr>
            <w:tcW w:w="691" w:type="pct"/>
            <w:shd w:val="clear" w:color="000000" w:fill="BFBFB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pct"/>
            <w:shd w:val="clear" w:color="000000" w:fill="BFBFB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5" w:type="pct"/>
            <w:shd w:val="clear" w:color="000000" w:fill="BFBFB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ევროობლიგაცია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2021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500 000 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1 307 550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6.875%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0.669%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000000" w:fill="BFBFB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გარანტირებული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კრედიტები</w:t>
            </w:r>
            <w:proofErr w:type="spellEnd"/>
          </w:p>
        </w:tc>
        <w:tc>
          <w:tcPr>
            <w:tcW w:w="386" w:type="pct"/>
            <w:shd w:val="clear" w:color="000000" w:fill="BFBFB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57" w:type="pct"/>
            <w:shd w:val="clear" w:color="000000" w:fill="BFBFBF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  1 943 </w:t>
            </w:r>
          </w:p>
        </w:tc>
        <w:tc>
          <w:tcPr>
            <w:tcW w:w="623" w:type="pct"/>
            <w:shd w:val="clear" w:color="000000" w:fill="BFBFBF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            5 082 </w:t>
            </w:r>
          </w:p>
        </w:tc>
        <w:tc>
          <w:tcPr>
            <w:tcW w:w="691" w:type="pct"/>
            <w:shd w:val="clear" w:color="000000" w:fill="BFBFB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Fixed </w:t>
            </w:r>
          </w:p>
        </w:tc>
        <w:tc>
          <w:tcPr>
            <w:tcW w:w="498" w:type="pct"/>
            <w:shd w:val="clear" w:color="000000" w:fill="BFBFB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5" w:type="pct"/>
            <w:shd w:val="clear" w:color="000000" w:fill="BFBFB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79765C" w:rsidTr="0079765C">
        <w:trPr>
          <w:trHeight w:hRule="exact" w:val="227"/>
        </w:trPr>
        <w:tc>
          <w:tcPr>
            <w:tcW w:w="1679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გერმანია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KfW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86" w:type="pct"/>
            <w:shd w:val="clear" w:color="000000" w:fill="FFFFFF"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657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1 943 </w:t>
            </w:r>
          </w:p>
        </w:tc>
        <w:tc>
          <w:tcPr>
            <w:tcW w:w="623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5 082 </w:t>
            </w:r>
          </w:p>
        </w:tc>
        <w:tc>
          <w:tcPr>
            <w:tcW w:w="691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498" w:type="pct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79765C" w:rsidTr="0079765C">
        <w:trPr>
          <w:trHeight w:hRule="exact" w:val="227"/>
        </w:trPr>
        <w:tc>
          <w:tcPr>
            <w:tcW w:w="2065" w:type="pct"/>
            <w:gridSpan w:val="2"/>
            <w:shd w:val="clear" w:color="000000" w:fill="FFFFFF"/>
            <w:noWrap/>
            <w:vAlign w:val="center"/>
            <w:hideMark/>
          </w:tcPr>
          <w:p w:rsidR="0079765C" w:rsidRDefault="0079765C" w:rsidP="0079765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70" w:type="pct"/>
            <w:gridSpan w:val="4"/>
            <w:shd w:val="clear" w:color="000000" w:fill="808080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FFFFFF"/>
                <w:sz w:val="16"/>
                <w:szCs w:val="16"/>
              </w:rPr>
              <w:t>საშუალო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FFFFFF"/>
                <w:sz w:val="16"/>
                <w:szCs w:val="16"/>
              </w:rPr>
              <w:t>შეწონილი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FFFFFF"/>
                <w:sz w:val="16"/>
                <w:szCs w:val="16"/>
              </w:rPr>
              <w:t>საპროცენტო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FFFFFF"/>
                <w:sz w:val="16"/>
                <w:szCs w:val="16"/>
              </w:rPr>
              <w:t>განაკვეთი</w:t>
            </w:r>
            <w:proofErr w:type="spellEnd"/>
          </w:p>
        </w:tc>
        <w:tc>
          <w:tcPr>
            <w:tcW w:w="465" w:type="pct"/>
            <w:shd w:val="clear" w:color="000000" w:fill="808080"/>
            <w:noWrap/>
            <w:vAlign w:val="center"/>
            <w:hideMark/>
          </w:tcPr>
          <w:p w:rsidR="0079765C" w:rsidRDefault="0079765C" w:rsidP="0079765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2.24%</w:t>
            </w:r>
          </w:p>
        </w:tc>
      </w:tr>
    </w:tbl>
    <w:p w:rsidR="00071D1D" w:rsidRDefault="00071D1D" w:rsidP="00886733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color w:val="0070C0"/>
          <w:lang w:val="ka-GE"/>
        </w:rPr>
      </w:pPr>
    </w:p>
    <w:p w:rsidR="00457886" w:rsidRPr="008B4FC9" w:rsidRDefault="007E711B" w:rsidP="00457886">
      <w:pPr>
        <w:pStyle w:val="Default"/>
        <w:ind w:firstLine="708"/>
        <w:jc w:val="both"/>
        <w:rPr>
          <w:szCs w:val="21"/>
          <w:highlight w:val="yellow"/>
          <w:shd w:val="clear" w:color="auto" w:fill="FFFFFF"/>
          <w:lang w:val="ka-GE"/>
        </w:rPr>
      </w:pPr>
      <w:r w:rsidRPr="006B5421">
        <w:rPr>
          <w:sz w:val="22"/>
          <w:szCs w:val="22"/>
          <w:shd w:val="clear" w:color="auto" w:fill="FFFFFF"/>
          <w:lang w:val="ka-GE"/>
        </w:rPr>
        <w:t>201</w:t>
      </w:r>
      <w:r w:rsidR="00AB7802" w:rsidRPr="008B4FC9">
        <w:rPr>
          <w:sz w:val="22"/>
          <w:szCs w:val="22"/>
          <w:shd w:val="clear" w:color="auto" w:fill="FFFFFF"/>
          <w:lang w:val="ka-GE"/>
        </w:rPr>
        <w:t>9</w:t>
      </w:r>
      <w:r w:rsidRPr="006B5421">
        <w:rPr>
          <w:sz w:val="22"/>
          <w:szCs w:val="22"/>
          <w:shd w:val="clear" w:color="auto" w:fill="FFFFFF"/>
          <w:lang w:val="ka-GE"/>
        </w:rPr>
        <w:t xml:space="preserve"> წლის სახელმწიფო ბიუჯეტის 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საინვესტიციო </w:t>
      </w:r>
      <w:r w:rsidRPr="00E04331">
        <w:rPr>
          <w:sz w:val="22"/>
          <w:szCs w:val="22"/>
          <w:shd w:val="clear" w:color="auto" w:fill="FFFFFF"/>
          <w:lang w:val="ka-GE"/>
        </w:rPr>
        <w:t xml:space="preserve">კრედიტების ათვისებას </w:t>
      </w:r>
      <w:r w:rsidR="00457886" w:rsidRPr="008B4FC9">
        <w:rPr>
          <w:sz w:val="22"/>
          <w:szCs w:val="22"/>
          <w:shd w:val="clear" w:color="auto" w:fill="FFFFFF"/>
          <w:lang w:val="ka-GE"/>
        </w:rPr>
        <w:t>1,</w:t>
      </w:r>
      <w:r w:rsidR="00E04331" w:rsidRPr="008B4FC9">
        <w:rPr>
          <w:sz w:val="22"/>
          <w:szCs w:val="22"/>
          <w:shd w:val="clear" w:color="auto" w:fill="FFFFFF"/>
          <w:lang w:val="ka-GE"/>
        </w:rPr>
        <w:t>420</w:t>
      </w:r>
      <w:r w:rsidR="00457886" w:rsidRPr="008B4FC9">
        <w:rPr>
          <w:sz w:val="22"/>
          <w:szCs w:val="22"/>
          <w:shd w:val="clear" w:color="auto" w:fill="FFFFFF"/>
          <w:lang w:val="ka-GE"/>
        </w:rPr>
        <w:t>,</w:t>
      </w:r>
      <w:r w:rsidR="000A7EDA" w:rsidRPr="00E04331">
        <w:rPr>
          <w:sz w:val="22"/>
          <w:szCs w:val="22"/>
          <w:shd w:val="clear" w:color="auto" w:fill="FFFFFF"/>
          <w:lang w:val="ka-GE"/>
        </w:rPr>
        <w:t>000</w:t>
      </w:r>
      <w:r w:rsidR="00457886" w:rsidRPr="008B4FC9">
        <w:rPr>
          <w:sz w:val="22"/>
          <w:szCs w:val="22"/>
          <w:shd w:val="clear" w:color="auto" w:fill="FFFFFF"/>
          <w:lang w:val="ka-GE"/>
        </w:rPr>
        <w:t xml:space="preserve">.0 </w:t>
      </w:r>
      <w:r w:rsidRPr="00E04331">
        <w:rPr>
          <w:sz w:val="22"/>
          <w:szCs w:val="22"/>
          <w:shd w:val="clear" w:color="auto" w:fill="FFFFFF"/>
          <w:lang w:val="ka-GE"/>
        </w:rPr>
        <w:t>ათასი ლარის</w:t>
      </w:r>
      <w:r w:rsidRPr="006B5421">
        <w:rPr>
          <w:sz w:val="22"/>
          <w:szCs w:val="22"/>
          <w:shd w:val="clear" w:color="auto" w:fill="FFFFFF"/>
          <w:lang w:val="ka-GE"/>
        </w:rPr>
        <w:t xml:space="preserve"> ოდენობით. ასევე </w:t>
      </w:r>
      <w:r w:rsidR="00457886" w:rsidRPr="000E1AF9">
        <w:rPr>
          <w:sz w:val="22"/>
          <w:szCs w:val="22"/>
          <w:lang w:val="ka-GE"/>
        </w:rPr>
        <w:t xml:space="preserve">ბიუჯეტის მხარდამჭერი რესურსის სახით „სოციალური კეთილდღეობის პროგრამის“ ფარგლებში საფრანგეთის განვითარების სააგენტოდან </w:t>
      </w:r>
      <w:r w:rsidR="00457886" w:rsidRPr="008B4FC9">
        <w:rPr>
          <w:sz w:val="22"/>
          <w:szCs w:val="22"/>
          <w:lang w:val="ka-GE"/>
        </w:rPr>
        <w:t xml:space="preserve">(AFD) </w:t>
      </w:r>
      <w:r w:rsidR="00457886" w:rsidRPr="000E1AF9">
        <w:rPr>
          <w:sz w:val="22"/>
          <w:szCs w:val="22"/>
          <w:lang w:val="ka-GE"/>
        </w:rPr>
        <w:t>1</w:t>
      </w:r>
      <w:r w:rsidR="00177DA4" w:rsidRPr="008B4FC9">
        <w:rPr>
          <w:sz w:val="22"/>
          <w:szCs w:val="22"/>
          <w:lang w:val="ka-GE"/>
        </w:rPr>
        <w:t>05</w:t>
      </w:r>
      <w:r w:rsidR="00457886" w:rsidRPr="008B4FC9">
        <w:rPr>
          <w:sz w:val="22"/>
          <w:szCs w:val="22"/>
          <w:lang w:val="ka-GE"/>
        </w:rPr>
        <w:t>,000.0 ათასი ლარის,</w:t>
      </w:r>
      <w:r w:rsidR="00177DA4" w:rsidRPr="008B4FC9">
        <w:rPr>
          <w:sz w:val="22"/>
          <w:szCs w:val="22"/>
          <w:lang w:val="ka-GE"/>
        </w:rPr>
        <w:t xml:space="preserve"> </w:t>
      </w:r>
      <w:r w:rsidR="008B4FC9">
        <w:rPr>
          <w:sz w:val="22"/>
          <w:szCs w:val="22"/>
          <w:lang w:val="ka-GE"/>
        </w:rPr>
        <w:t>„</w:t>
      </w:r>
      <w:r w:rsidR="008B4FC9" w:rsidRPr="008B4FC9">
        <w:rPr>
          <w:sz w:val="22"/>
          <w:szCs w:val="22"/>
          <w:lang w:val="ka-GE"/>
        </w:rPr>
        <w:t>საქართველოში ენერგეტიკის სექტორის რეფორმის პროგრამის</w:t>
      </w:r>
      <w:r w:rsidR="008B4FC9">
        <w:rPr>
          <w:sz w:val="22"/>
          <w:szCs w:val="22"/>
          <w:lang w:val="ka-GE"/>
        </w:rPr>
        <w:t xml:space="preserve">“ ფარგლებში </w:t>
      </w:r>
      <w:r w:rsidR="008B4FC9" w:rsidRPr="000E1AF9">
        <w:rPr>
          <w:sz w:val="22"/>
          <w:szCs w:val="22"/>
          <w:lang w:val="ka-GE"/>
        </w:rPr>
        <w:t xml:space="preserve">საფრანგეთის განვითარების სააგენტოდან </w:t>
      </w:r>
      <w:r w:rsidR="008B4FC9" w:rsidRPr="008B4FC9">
        <w:rPr>
          <w:sz w:val="22"/>
          <w:szCs w:val="22"/>
          <w:lang w:val="ka-GE"/>
        </w:rPr>
        <w:t xml:space="preserve">(AFD) </w:t>
      </w:r>
      <w:r w:rsidR="008B4FC9">
        <w:rPr>
          <w:sz w:val="22"/>
          <w:szCs w:val="22"/>
          <w:lang w:val="ka-GE"/>
        </w:rPr>
        <w:t>7</w:t>
      </w:r>
      <w:r w:rsidR="008B4FC9" w:rsidRPr="008B4FC9">
        <w:rPr>
          <w:sz w:val="22"/>
          <w:szCs w:val="22"/>
          <w:lang w:val="ka-GE"/>
        </w:rPr>
        <w:t>5,000.0 ათასი ლარის</w:t>
      </w:r>
      <w:r w:rsidR="008B4FC9">
        <w:rPr>
          <w:sz w:val="22"/>
          <w:szCs w:val="22"/>
          <w:lang w:val="ka-GE"/>
        </w:rPr>
        <w:t xml:space="preserve">, </w:t>
      </w:r>
      <w:r w:rsidR="008B4FC9">
        <w:rPr>
          <w:sz w:val="22"/>
          <w:szCs w:val="22"/>
          <w:lang w:val="ka-GE"/>
        </w:rPr>
        <w:t>„</w:t>
      </w:r>
      <w:r w:rsidR="008B4FC9" w:rsidRPr="008B4FC9">
        <w:rPr>
          <w:sz w:val="22"/>
          <w:szCs w:val="22"/>
          <w:lang w:val="ka-GE"/>
        </w:rPr>
        <w:t>საქართველოში ენერგეტიკის სექტორის რეფორმის პროგრამის</w:t>
      </w:r>
      <w:r w:rsidR="00457886" w:rsidRPr="000E1AF9">
        <w:rPr>
          <w:sz w:val="22"/>
          <w:szCs w:val="22"/>
          <w:lang w:val="ka-GE"/>
        </w:rPr>
        <w:t xml:space="preserve">“ ფარგლებში </w:t>
      </w:r>
      <w:r w:rsidR="008B4FC9" w:rsidRPr="008B4FC9">
        <w:rPr>
          <w:sz w:val="22"/>
          <w:szCs w:val="22"/>
          <w:lang w:val="ka-GE"/>
        </w:rPr>
        <w:t xml:space="preserve">გერმანიის რეკონსტრუქციის საკრედიტო ბანკიდან </w:t>
      </w:r>
      <w:r w:rsidR="00457886" w:rsidRPr="000E1AF9">
        <w:rPr>
          <w:sz w:val="22"/>
          <w:szCs w:val="22"/>
          <w:lang w:val="ka-GE"/>
        </w:rPr>
        <w:t>(</w:t>
      </w:r>
      <w:r w:rsidR="003D33E6" w:rsidRPr="008B4FC9">
        <w:rPr>
          <w:sz w:val="22"/>
          <w:szCs w:val="22"/>
          <w:lang w:val="ka-GE"/>
        </w:rPr>
        <w:t>KfW</w:t>
      </w:r>
      <w:r w:rsidR="00457886" w:rsidRPr="008B4FC9">
        <w:rPr>
          <w:sz w:val="22"/>
          <w:szCs w:val="22"/>
          <w:lang w:val="ka-GE"/>
        </w:rPr>
        <w:t>) 1</w:t>
      </w:r>
      <w:r w:rsidR="00177DA4" w:rsidRPr="008B4FC9">
        <w:rPr>
          <w:sz w:val="22"/>
          <w:szCs w:val="22"/>
          <w:lang w:val="ka-GE"/>
        </w:rPr>
        <w:t>4</w:t>
      </w:r>
      <w:r w:rsidR="003D33E6" w:rsidRPr="008B4FC9">
        <w:rPr>
          <w:sz w:val="22"/>
          <w:szCs w:val="22"/>
          <w:lang w:val="ka-GE"/>
        </w:rPr>
        <w:t>5</w:t>
      </w:r>
      <w:r w:rsidR="00457886" w:rsidRPr="008B4FC9">
        <w:rPr>
          <w:sz w:val="22"/>
          <w:szCs w:val="22"/>
          <w:lang w:val="ka-GE"/>
        </w:rPr>
        <w:t xml:space="preserve">,000.0 ათასი ლარის </w:t>
      </w:r>
      <w:r w:rsidR="00457886" w:rsidRPr="000E1AF9">
        <w:rPr>
          <w:sz w:val="22"/>
          <w:szCs w:val="22"/>
          <w:lang w:val="ka-GE"/>
        </w:rPr>
        <w:t>და ევროკავშირის „</w:t>
      </w:r>
      <w:r w:rsidR="00457886" w:rsidRPr="008B4FC9">
        <w:rPr>
          <w:sz w:val="22"/>
          <w:szCs w:val="22"/>
          <w:lang w:val="ka-GE"/>
        </w:rPr>
        <w:t>მაკროფინანსური დახმარების პროგრამი</w:t>
      </w:r>
      <w:r w:rsidR="00457886" w:rsidRPr="000E1AF9">
        <w:rPr>
          <w:sz w:val="22"/>
          <w:szCs w:val="22"/>
          <w:lang w:val="ka-GE"/>
        </w:rPr>
        <w:t xml:space="preserve">ს“ ფარგლებში </w:t>
      </w:r>
      <w:r w:rsidR="00457886" w:rsidRPr="008B4FC9">
        <w:rPr>
          <w:sz w:val="22"/>
          <w:szCs w:val="22"/>
          <w:lang w:val="ka-GE"/>
        </w:rPr>
        <w:t xml:space="preserve">(MFA) (EU) </w:t>
      </w:r>
      <w:r w:rsidR="00457886" w:rsidRPr="000E1AF9">
        <w:rPr>
          <w:sz w:val="22"/>
          <w:szCs w:val="22"/>
          <w:lang w:val="ka-GE"/>
        </w:rPr>
        <w:t>60</w:t>
      </w:r>
      <w:r w:rsidR="000E1AF9" w:rsidRPr="008B4FC9">
        <w:rPr>
          <w:sz w:val="22"/>
          <w:szCs w:val="22"/>
          <w:lang w:val="ka-GE"/>
        </w:rPr>
        <w:t>,</w:t>
      </w:r>
      <w:r w:rsidR="00457886" w:rsidRPr="008B4FC9">
        <w:rPr>
          <w:sz w:val="22"/>
          <w:szCs w:val="22"/>
          <w:lang w:val="ka-GE"/>
        </w:rPr>
        <w:t xml:space="preserve">000.0 ათასი ლარის </w:t>
      </w:r>
      <w:r w:rsidR="00457886" w:rsidRPr="000E1AF9">
        <w:rPr>
          <w:sz w:val="22"/>
          <w:szCs w:val="22"/>
          <w:lang w:val="ka-GE"/>
        </w:rPr>
        <w:t xml:space="preserve">ათვისებას. </w:t>
      </w:r>
    </w:p>
    <w:p w:rsidR="007E711B" w:rsidRDefault="007E711B" w:rsidP="00AB7802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0F00E4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201</w:t>
      </w:r>
      <w:r w:rsidR="00AB7802">
        <w:rPr>
          <w:rFonts w:ascii="Sylfaen" w:hAnsi="Sylfaen" w:cs="Sylfaen"/>
          <w:szCs w:val="21"/>
          <w:shd w:val="clear" w:color="auto" w:fill="FFFFFF"/>
        </w:rPr>
        <w:t>9</w:t>
      </w:r>
      <w:r w:rsidRPr="000F00E4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პროექტით გათვალისწინებულია</w:t>
      </w:r>
      <w:r w:rsidR="00D22125">
        <w:rPr>
          <w:rFonts w:ascii="Sylfaen" w:hAnsi="Sylfaen" w:cs="Sylfaen"/>
          <w:szCs w:val="21"/>
          <w:shd w:val="clear" w:color="auto" w:fill="FFFFFF"/>
        </w:rPr>
        <w:t xml:space="preserve"> 1,</w:t>
      </w:r>
      <w:r w:rsidR="00557774">
        <w:rPr>
          <w:rFonts w:ascii="Sylfaen" w:hAnsi="Sylfaen" w:cs="Sylfaen"/>
          <w:szCs w:val="21"/>
          <w:shd w:val="clear" w:color="auto" w:fill="FFFFFF"/>
        </w:rPr>
        <w:t>230</w:t>
      </w:r>
      <w:r w:rsidR="00E41BE1">
        <w:rPr>
          <w:rFonts w:ascii="Sylfaen" w:hAnsi="Sylfaen" w:cs="Sylfaen"/>
          <w:szCs w:val="21"/>
          <w:shd w:val="clear" w:color="auto" w:fill="FFFFFF"/>
        </w:rPr>
        <w:t>,000</w:t>
      </w:r>
      <w:r w:rsidRPr="000F00E4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ლარი, საიდანაც </w:t>
      </w:r>
      <w:r w:rsidR="00557774">
        <w:rPr>
          <w:rFonts w:ascii="Sylfaen" w:hAnsi="Sylfaen" w:cs="Sylfaen"/>
          <w:szCs w:val="21"/>
          <w:shd w:val="clear" w:color="auto" w:fill="FFFFFF"/>
        </w:rPr>
        <w:t>890</w:t>
      </w:r>
      <w:r w:rsidR="00E41BE1">
        <w:rPr>
          <w:rFonts w:ascii="Sylfaen" w:hAnsi="Sylfaen" w:cs="Sylfaen"/>
          <w:szCs w:val="21"/>
          <w:shd w:val="clear" w:color="auto" w:fill="FFFFFF"/>
        </w:rPr>
        <w:t>,000</w:t>
      </w:r>
      <w:r w:rsidRPr="000F00E4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წარმოადგენს ძირითადი თანხის დაფარვას, ხოლო </w:t>
      </w:r>
      <w:r w:rsidR="00557774">
        <w:rPr>
          <w:rFonts w:ascii="Sylfaen" w:hAnsi="Sylfaen" w:cs="Sylfaen"/>
          <w:szCs w:val="21"/>
          <w:shd w:val="clear" w:color="auto" w:fill="FFFFFF"/>
        </w:rPr>
        <w:t>340</w:t>
      </w:r>
      <w:r w:rsidR="00E41BE1">
        <w:rPr>
          <w:rFonts w:ascii="Sylfaen" w:hAnsi="Sylfaen" w:cs="Sylfaen"/>
          <w:szCs w:val="21"/>
          <w:shd w:val="clear" w:color="auto" w:fill="FFFFFF"/>
        </w:rPr>
        <w:t>,000</w:t>
      </w:r>
      <w:r w:rsidRPr="000F00E4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</w:t>
      </w:r>
      <w:r w:rsidRPr="000F00E4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F00E4">
        <w:rPr>
          <w:rFonts w:ascii="Sylfaen" w:hAnsi="Sylfaen" w:cs="Sylfaen"/>
          <w:szCs w:val="21"/>
          <w:shd w:val="clear" w:color="auto" w:fill="FFFFFF"/>
          <w:lang w:val="ka-GE"/>
        </w:rPr>
        <w:t>ლარი - პროცენტის თანხას:</w:t>
      </w:r>
    </w:p>
    <w:p w:rsidR="0079765C" w:rsidRDefault="0079765C">
      <w:pPr>
        <w:rPr>
          <w:rFonts w:ascii="Sylfaen" w:hAnsi="Sylfaen" w:cs="Sylfaen"/>
          <w:szCs w:val="21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  <w:lang w:val="ka-GE"/>
        </w:rPr>
        <w:br w:type="page"/>
      </w:r>
    </w:p>
    <w:p w:rsidR="004816BC" w:rsidRDefault="00FE7942" w:rsidP="00653DD1">
      <w:pPr>
        <w:tabs>
          <w:tab w:val="left" w:pos="720"/>
        </w:tabs>
        <w:spacing w:after="12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425B8C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სახელმწიფო საგარეო ვალდებულებების მომსახურება და დაფარვა </w:t>
      </w:r>
      <w:r w:rsidR="0003606D" w:rsidRPr="00425B8C">
        <w:rPr>
          <w:rFonts w:ascii="Sylfaen" w:hAnsi="Sylfaen" w:cs="Sylfaen"/>
          <w:b/>
          <w:szCs w:val="18"/>
          <w:shd w:val="clear" w:color="auto" w:fill="FFFFFF"/>
          <w:lang w:val="ka-GE"/>
        </w:rPr>
        <w:t>201</w:t>
      </w:r>
      <w:r w:rsidR="00AB7802">
        <w:rPr>
          <w:rFonts w:ascii="Sylfaen" w:hAnsi="Sylfaen" w:cs="Sylfaen"/>
          <w:b/>
          <w:szCs w:val="18"/>
          <w:shd w:val="clear" w:color="auto" w:fill="FFFFFF"/>
        </w:rPr>
        <w:t>9</w:t>
      </w:r>
      <w:r w:rsidR="0003606D" w:rsidRPr="00425B8C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425B8C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7E711B">
        <w:rPr>
          <w:rFonts w:ascii="Sylfaen" w:hAnsi="Sylfaen" w:cs="Sylfaen"/>
          <w:b/>
          <w:szCs w:val="18"/>
          <w:shd w:val="clear" w:color="auto" w:fill="FFFFFF"/>
          <w:lang w:val="ka-GE"/>
        </w:rPr>
        <w:t>ათვის (პროგნოზი)</w:t>
      </w:r>
    </w:p>
    <w:p w:rsidR="004B0D23" w:rsidRPr="004B0D23" w:rsidRDefault="00255AE1" w:rsidP="004B0D23">
      <w:pPr>
        <w:tabs>
          <w:tab w:val="left" w:pos="720"/>
        </w:tabs>
        <w:spacing w:after="120" w:line="240" w:lineRule="auto"/>
        <w:ind w:firstLine="4820"/>
        <w:jc w:val="center"/>
        <w:rPr>
          <w:rFonts w:ascii="Sylfaen" w:hAnsi="Sylfaen" w:cs="Sylfaen"/>
          <w:b/>
          <w:sz w:val="16"/>
          <w:szCs w:val="16"/>
          <w:shd w:val="clear" w:color="auto" w:fill="FFFFFF"/>
          <w:lang w:val="ka-GE"/>
        </w:rPr>
      </w:pPr>
      <w:r>
        <w:rPr>
          <w:rFonts w:ascii="Sylfaen" w:hAnsi="Sylfaen" w:cs="Sylfaen"/>
          <w:b/>
          <w:szCs w:val="18"/>
          <w:shd w:val="clear" w:color="auto" w:fill="FFFFFF"/>
        </w:rPr>
        <w:tab/>
      </w:r>
      <w:r>
        <w:rPr>
          <w:rFonts w:ascii="Sylfaen" w:hAnsi="Sylfaen" w:cs="Sylfaen"/>
          <w:b/>
          <w:szCs w:val="18"/>
          <w:shd w:val="clear" w:color="auto" w:fill="FFFFFF"/>
        </w:rPr>
        <w:tab/>
      </w:r>
      <w:proofErr w:type="spellStart"/>
      <w:proofErr w:type="gramStart"/>
      <w:r w:rsidR="004B0D23" w:rsidRPr="004B0D23">
        <w:rPr>
          <w:rFonts w:ascii="Sylfaen" w:hAnsi="Sylfaen" w:cs="Sylfaen"/>
          <w:b/>
          <w:sz w:val="16"/>
          <w:szCs w:val="16"/>
          <w:shd w:val="clear" w:color="auto" w:fill="FFFFFF"/>
        </w:rPr>
        <w:t>ათასი</w:t>
      </w:r>
      <w:proofErr w:type="spellEnd"/>
      <w:proofErr w:type="gramEnd"/>
      <w:r w:rsidR="004B0D23" w:rsidRPr="004B0D23">
        <w:rPr>
          <w:rFonts w:ascii="Sylfaen" w:hAnsi="Sylfaen" w:cs="Sylfaen"/>
          <w:b/>
          <w:sz w:val="16"/>
          <w:szCs w:val="16"/>
          <w:shd w:val="clear" w:color="auto" w:fill="FFFFFF"/>
        </w:rPr>
        <w:t xml:space="preserve"> </w:t>
      </w:r>
      <w:proofErr w:type="spellStart"/>
      <w:r w:rsidR="004B0D23" w:rsidRPr="004B0D23">
        <w:rPr>
          <w:rFonts w:ascii="Sylfaen" w:hAnsi="Sylfaen" w:cs="Sylfaen"/>
          <w:b/>
          <w:sz w:val="16"/>
          <w:szCs w:val="16"/>
          <w:shd w:val="clear" w:color="auto" w:fill="FFFFFF"/>
        </w:rPr>
        <w:t>ლარი</w:t>
      </w:r>
      <w:proofErr w:type="spellEnd"/>
    </w:p>
    <w:tbl>
      <w:tblPr>
        <w:tblW w:w="7741" w:type="dxa"/>
        <w:jc w:val="center"/>
        <w:tblLook w:val="04A0" w:firstRow="1" w:lastRow="0" w:firstColumn="1" w:lastColumn="0" w:noHBand="0" w:noVBand="1"/>
      </w:tblPr>
      <w:tblGrid>
        <w:gridCol w:w="2336"/>
        <w:gridCol w:w="1787"/>
        <w:gridCol w:w="1701"/>
        <w:gridCol w:w="1917"/>
      </w:tblGrid>
      <w:tr w:rsidR="00255AE1" w:rsidRPr="00255AE1" w:rsidTr="00255AE1">
        <w:trPr>
          <w:trHeight w:hRule="exact" w:val="54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კრედიტორები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ვალების</w:t>
            </w:r>
            <w:proofErr w:type="spellEnd"/>
            <w:r w:rsidRPr="00255AE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55AE1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8B4FC9" w:rsidRDefault="00255AE1" w:rsidP="008B4FC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/>
                <w:bCs/>
              </w:rPr>
              <w:t>სულ</w:t>
            </w:r>
            <w:proofErr w:type="spellEnd"/>
            <w:r w:rsidRPr="00255AE1">
              <w:rPr>
                <w:rFonts w:ascii="Calibri" w:eastAsia="Times New Roman" w:hAnsi="Calibri" w:cs="Calibri"/>
                <w:b/>
                <w:bCs/>
              </w:rPr>
              <w:t xml:space="preserve"> 201</w:t>
            </w:r>
            <w:r>
              <w:rPr>
                <w:rFonts w:ascii="Sylfaen" w:eastAsia="Times New Roman" w:hAnsi="Sylfaen" w:cs="Calibri"/>
                <w:b/>
                <w:bCs/>
                <w:lang w:val="ka-GE"/>
              </w:rPr>
              <w:t>9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55A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u w:val="single"/>
              </w:rPr>
              <w:t>890,000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u w:val="single"/>
              </w:rPr>
              <w:t>340,000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u w:val="single"/>
              </w:rPr>
              <w:t>1,230,000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3,600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4,000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5,100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1,200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6,300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15,100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5,200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20,300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68,500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19,600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88,100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6,200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1,100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7,300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4,600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2,900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3,500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2,400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2,800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11,300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6,200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17,500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700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26,400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6,100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32,500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5,600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1,200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6,800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10,200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10,800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უკრაინა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9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109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უზბეკეთი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110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71,200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4,800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76,000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1,300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-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1,300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 xml:space="preserve">IDA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264,500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29,900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294,400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IBRD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34,600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76,300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110,900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IFAD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1,200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4,200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EBRD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41,000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4,800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45,800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EIB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26,100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13,700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39,800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ADB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165,300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64,700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230,000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IMF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130,500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1,900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132,400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EU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700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700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CEB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900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900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AIIB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600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</w:pPr>
            <w:r w:rsidRPr="00255AE1">
              <w:rPr>
                <w:rFonts w:ascii="Calibri" w:eastAsia="Times New Roman" w:hAnsi="Calibri" w:cs="Calibri"/>
                <w:bCs/>
                <w:i/>
                <w:iCs/>
                <w:sz w:val="17"/>
                <w:szCs w:val="17"/>
              </w:rPr>
              <w:t>NEFCO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100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100</w:t>
            </w:r>
          </w:p>
        </w:tc>
      </w:tr>
      <w:tr w:rsidR="00255AE1" w:rsidRPr="00255AE1" w:rsidTr="00255AE1">
        <w:trPr>
          <w:trHeight w:hRule="exact" w:val="312"/>
          <w:jc w:val="center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</w:rPr>
            </w:pPr>
            <w:proofErr w:type="spellStart"/>
            <w:r w:rsidRPr="00255AE1">
              <w:rPr>
                <w:rFonts w:ascii="Sylfaen" w:eastAsia="Times New Roman" w:hAnsi="Sylfaen" w:cs="Sylfaen"/>
                <w:bCs/>
                <w:i/>
                <w:iCs/>
                <w:sz w:val="18"/>
                <w:szCs w:val="18"/>
              </w:rPr>
              <w:t>ევრობონდები</w:t>
            </w:r>
            <w:proofErr w:type="spellEnd"/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4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87,481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E1" w:rsidRPr="00255AE1" w:rsidRDefault="00255AE1" w:rsidP="00255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</w:pPr>
            <w:r w:rsidRPr="00255AE1">
              <w:rPr>
                <w:rFonts w:eastAsia="Times New Roman" w:cstheme="minorHAnsi"/>
                <w:b/>
                <w:bCs/>
                <w:i/>
                <w:iCs/>
                <w:sz w:val="16"/>
                <w:szCs w:val="18"/>
              </w:rPr>
              <w:t>87,481</w:t>
            </w:r>
          </w:p>
        </w:tc>
      </w:tr>
    </w:tbl>
    <w:p w:rsidR="00FF5D73" w:rsidRPr="0079765C" w:rsidRDefault="005E7CA8" w:rsidP="00CB62A2">
      <w:pPr>
        <w:tabs>
          <w:tab w:val="left" w:pos="720"/>
        </w:tabs>
        <w:spacing w:before="240"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</w:rPr>
        <w:tab/>
      </w:r>
      <w:r w:rsidR="0079765C" w:rsidRPr="0079765C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 ფინანსთა სამინისტრომ განახორციელა 6 და 12 თვიანი სახაზინო ვალდებულებების და 2, 5 და 10 წლიანი სახაზინო ობლიგაციების ემისია. 2018 წლის 30 სექტემბრის 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7.1%, 12 თვიანზე 7.1%, 2 წლიანზე - 7.2%, 5 წლიანზე - 7.4%, 10 წლიანზე - 9.0%.</w:t>
      </w:r>
    </w:p>
    <w:p w:rsidR="00FF5D73" w:rsidRDefault="00FF5D73" w:rsidP="00CB62A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57502A">
        <w:rPr>
          <w:rFonts w:ascii="Sylfaen" w:hAnsi="Sylfaen" w:cs="Sylfaen"/>
          <w:szCs w:val="21"/>
          <w:shd w:val="clear" w:color="auto" w:fill="FFFFFF"/>
          <w:lang w:val="ka-GE"/>
        </w:rPr>
        <w:tab/>
      </w:r>
      <w:r w:rsidR="00CB62A2" w:rsidRPr="00CB62A2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ფასიანი ქაღალდების გამოშვების შედეგად საშინაო ვალის ნაშთმა 2018 წლის 30 სექტემბრის მდგომარეობით შეადგენა 3,080.1 მილიონი ლარი (სახელმწიფო ფასიანი ქაღალდების დაუფარავი მოცულობა ნომინალებში - 3,096.9 მლნ ლარი), აქედან 2,639.2 მილიონი ლარი წარმოადგენს ნაშთს სახაზინო ვალდებულებების და ობლიგაციების ნაწილში, ხოლო 440.8 მილიონი ლარი - „სახელმწიფო ობლიგაციები სებ-სთვის და ღია ბაზრის ოპერაციებისათვის“ ნაწილში.</w:t>
      </w:r>
    </w:p>
    <w:p w:rsidR="00CB62A2" w:rsidRDefault="00CB62A2" w:rsidP="00CB62A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FF5D73" w:rsidRDefault="00FF5D73" w:rsidP="00653DD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Cs w:val="18"/>
          <w:shd w:val="clear" w:color="auto" w:fill="FFFFFF"/>
          <w:lang w:val="ka-GE"/>
        </w:rPr>
      </w:pPr>
      <w:proofErr w:type="spellStart"/>
      <w:proofErr w:type="gramStart"/>
      <w:r w:rsidRPr="00F66BF1">
        <w:rPr>
          <w:rFonts w:ascii="Sylfaen" w:eastAsia="Times New Roman" w:hAnsi="Sylfaen" w:cs="Arial"/>
          <w:b/>
          <w:bCs/>
          <w:color w:val="000000"/>
          <w:sz w:val="16"/>
          <w:szCs w:val="16"/>
        </w:rPr>
        <w:t>შენიშვნა</w:t>
      </w:r>
      <w:proofErr w:type="spellEnd"/>
      <w:proofErr w:type="gramEnd"/>
      <w:r w:rsidRPr="00F66BF1">
        <w:rPr>
          <w:rFonts w:ascii="Sylfaen" w:eastAsia="Times New Roman" w:hAnsi="Sylfaen" w:cs="Arial"/>
          <w:b/>
          <w:bCs/>
          <w:color w:val="000000"/>
          <w:sz w:val="16"/>
          <w:szCs w:val="16"/>
        </w:rPr>
        <w:t xml:space="preserve">: </w:t>
      </w:r>
      <w:proofErr w:type="spellStart"/>
      <w:r w:rsidRPr="00F66BF1">
        <w:rPr>
          <w:rFonts w:ascii="Sylfaen" w:eastAsia="Times New Roman" w:hAnsi="Sylfaen" w:cs="Arial"/>
          <w:color w:val="000000"/>
          <w:sz w:val="16"/>
          <w:szCs w:val="16"/>
        </w:rPr>
        <w:t>სახელმწიფო</w:t>
      </w:r>
      <w:proofErr w:type="spellEnd"/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 w:rsidRPr="00F66BF1">
        <w:rPr>
          <w:rFonts w:ascii="Sylfaen" w:eastAsia="Times New Roman" w:hAnsi="Sylfaen" w:cs="Arial"/>
          <w:color w:val="000000"/>
          <w:sz w:val="16"/>
          <w:szCs w:val="16"/>
        </w:rPr>
        <w:t>საშინაო</w:t>
      </w:r>
      <w:proofErr w:type="spellEnd"/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 w:rsidRPr="00F66BF1">
        <w:rPr>
          <w:rFonts w:ascii="Sylfaen" w:eastAsia="Times New Roman" w:hAnsi="Sylfaen" w:cs="Arial"/>
          <w:color w:val="000000"/>
          <w:sz w:val="16"/>
          <w:szCs w:val="16"/>
        </w:rPr>
        <w:t>ვალის</w:t>
      </w:r>
      <w:proofErr w:type="spellEnd"/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 w:rsidRPr="00F66BF1">
        <w:rPr>
          <w:rFonts w:ascii="Sylfaen" w:eastAsia="Times New Roman" w:hAnsi="Sylfaen" w:cs="Arial"/>
          <w:color w:val="000000"/>
          <w:sz w:val="16"/>
          <w:szCs w:val="16"/>
        </w:rPr>
        <w:t>ნაშთი</w:t>
      </w:r>
      <w:proofErr w:type="spellEnd"/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 w:rsidRPr="00F66BF1">
        <w:rPr>
          <w:rFonts w:ascii="Sylfaen" w:eastAsia="Times New Roman" w:hAnsi="Sylfaen" w:cs="Arial"/>
          <w:color w:val="000000"/>
          <w:sz w:val="16"/>
          <w:szCs w:val="16"/>
        </w:rPr>
        <w:t>არ</w:t>
      </w:r>
      <w:proofErr w:type="spellEnd"/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 w:rsidRPr="00F66BF1">
        <w:rPr>
          <w:rFonts w:ascii="Sylfaen" w:eastAsia="Times New Roman" w:hAnsi="Sylfaen" w:cs="Arial"/>
          <w:color w:val="000000"/>
          <w:sz w:val="16"/>
          <w:szCs w:val="16"/>
        </w:rPr>
        <w:t>მოიცავს</w:t>
      </w:r>
      <w:proofErr w:type="spellEnd"/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 w:rsidRPr="00F66BF1">
        <w:rPr>
          <w:rFonts w:ascii="Sylfaen" w:eastAsia="Times New Roman" w:hAnsi="Sylfaen" w:cs="Arial"/>
          <w:color w:val="000000"/>
          <w:sz w:val="16"/>
          <w:szCs w:val="16"/>
        </w:rPr>
        <w:t>ე.წ</w:t>
      </w:r>
      <w:proofErr w:type="spellEnd"/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. </w:t>
      </w:r>
      <w:r w:rsidR="00653DD1">
        <w:rPr>
          <w:rFonts w:ascii="Sylfaen" w:eastAsia="Times New Roman" w:hAnsi="Sylfaen" w:cs="Arial"/>
          <w:color w:val="000000"/>
          <w:sz w:val="16"/>
          <w:szCs w:val="16"/>
          <w:lang w:val="ka-GE"/>
        </w:rPr>
        <w:t>„</w:t>
      </w:r>
      <w:proofErr w:type="spellStart"/>
      <w:r w:rsidRPr="00F66BF1">
        <w:rPr>
          <w:rFonts w:ascii="Sylfaen" w:eastAsia="Times New Roman" w:hAnsi="Sylfaen" w:cs="Arial"/>
          <w:color w:val="000000"/>
          <w:sz w:val="16"/>
          <w:szCs w:val="16"/>
        </w:rPr>
        <w:t>ისტორიულ</w:t>
      </w:r>
      <w:proofErr w:type="spellEnd"/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 w:rsidRPr="00F66BF1">
        <w:rPr>
          <w:rFonts w:ascii="Sylfaen" w:eastAsia="Times New Roman" w:hAnsi="Sylfaen" w:cs="Arial"/>
          <w:color w:val="000000"/>
          <w:sz w:val="16"/>
          <w:szCs w:val="16"/>
        </w:rPr>
        <w:t>ვალს</w:t>
      </w:r>
      <w:proofErr w:type="spellEnd"/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". </w:t>
      </w:r>
      <w:r w:rsidR="00653DD1">
        <w:rPr>
          <w:rFonts w:ascii="Sylfaen" w:eastAsia="Times New Roman" w:hAnsi="Sylfaen" w:cs="Arial"/>
          <w:color w:val="000000"/>
          <w:sz w:val="16"/>
          <w:szCs w:val="16"/>
          <w:lang w:val="ka-GE"/>
        </w:rPr>
        <w:t>„</w:t>
      </w:r>
      <w:proofErr w:type="spellStart"/>
      <w:r w:rsidRPr="00F66BF1">
        <w:rPr>
          <w:rFonts w:ascii="Sylfaen" w:eastAsia="Times New Roman" w:hAnsi="Sylfaen" w:cs="Arial"/>
          <w:color w:val="000000"/>
          <w:sz w:val="16"/>
          <w:szCs w:val="16"/>
        </w:rPr>
        <w:t>ისტორიული</w:t>
      </w:r>
      <w:proofErr w:type="spellEnd"/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 w:rsidRPr="00F66BF1">
        <w:rPr>
          <w:rFonts w:ascii="Sylfaen" w:eastAsia="Times New Roman" w:hAnsi="Sylfaen" w:cs="Arial"/>
          <w:color w:val="000000"/>
          <w:sz w:val="16"/>
          <w:szCs w:val="16"/>
        </w:rPr>
        <w:t>ვალის</w:t>
      </w:r>
      <w:proofErr w:type="spellEnd"/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“ </w:t>
      </w:r>
      <w:proofErr w:type="spellStart"/>
      <w:r w:rsidRPr="00F66BF1">
        <w:rPr>
          <w:rFonts w:ascii="Sylfaen" w:eastAsia="Times New Roman" w:hAnsi="Sylfaen" w:cs="Arial"/>
          <w:color w:val="000000"/>
          <w:sz w:val="16"/>
          <w:szCs w:val="16"/>
        </w:rPr>
        <w:t>მოცულობა</w:t>
      </w:r>
      <w:proofErr w:type="spellEnd"/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 w:rsidRPr="00F66BF1">
        <w:rPr>
          <w:rFonts w:ascii="Sylfaen" w:eastAsia="Times New Roman" w:hAnsi="Sylfaen" w:cs="Arial"/>
          <w:color w:val="000000"/>
          <w:sz w:val="16"/>
          <w:szCs w:val="16"/>
        </w:rPr>
        <w:t>საორიენტაციოა</w:t>
      </w:r>
      <w:proofErr w:type="spellEnd"/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, </w:t>
      </w:r>
      <w:proofErr w:type="spellStart"/>
      <w:r w:rsidRPr="00F66BF1">
        <w:rPr>
          <w:rFonts w:ascii="Sylfaen" w:eastAsia="Times New Roman" w:hAnsi="Sylfaen" w:cs="Arial"/>
          <w:color w:val="000000"/>
          <w:sz w:val="16"/>
          <w:szCs w:val="16"/>
        </w:rPr>
        <w:t>ვინაიდან</w:t>
      </w:r>
      <w:proofErr w:type="spellEnd"/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 w:rsidRPr="00F66BF1">
        <w:rPr>
          <w:rFonts w:ascii="Sylfaen" w:eastAsia="Times New Roman" w:hAnsi="Sylfaen" w:cs="Arial"/>
          <w:color w:val="000000"/>
          <w:sz w:val="16"/>
          <w:szCs w:val="16"/>
        </w:rPr>
        <w:t>ამ</w:t>
      </w:r>
      <w:proofErr w:type="spellEnd"/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 w:rsidRPr="00F66BF1">
        <w:rPr>
          <w:rFonts w:ascii="Sylfaen" w:eastAsia="Times New Roman" w:hAnsi="Sylfaen" w:cs="Arial"/>
          <w:color w:val="000000"/>
          <w:sz w:val="16"/>
          <w:szCs w:val="16"/>
        </w:rPr>
        <w:t>კატეგორიის</w:t>
      </w:r>
      <w:proofErr w:type="spellEnd"/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  </w:t>
      </w:r>
      <w:proofErr w:type="spellStart"/>
      <w:r w:rsidRPr="00F66BF1">
        <w:rPr>
          <w:rFonts w:ascii="Sylfaen" w:eastAsia="Times New Roman" w:hAnsi="Sylfaen" w:cs="Arial"/>
          <w:color w:val="000000"/>
          <w:sz w:val="16"/>
          <w:szCs w:val="16"/>
        </w:rPr>
        <w:t>უმეტესი</w:t>
      </w:r>
      <w:proofErr w:type="spellEnd"/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 w:rsidRPr="00F66BF1">
        <w:rPr>
          <w:rFonts w:ascii="Sylfaen" w:eastAsia="Times New Roman" w:hAnsi="Sylfaen" w:cs="Arial"/>
          <w:color w:val="000000"/>
          <w:sz w:val="16"/>
          <w:szCs w:val="16"/>
        </w:rPr>
        <w:t>ნაწილი</w:t>
      </w:r>
      <w:proofErr w:type="spellEnd"/>
      <w:r w:rsidRPr="00F66BF1">
        <w:rPr>
          <w:rFonts w:ascii="Sylfaen" w:eastAsia="Times New Roman" w:hAnsi="Sylfaen" w:cs="Arial"/>
          <w:color w:val="000000"/>
          <w:sz w:val="16"/>
          <w:szCs w:val="16"/>
        </w:rPr>
        <w:t xml:space="preserve"> </w:t>
      </w:r>
      <w:proofErr w:type="spellStart"/>
      <w:r w:rsidRPr="00F66BF1">
        <w:rPr>
          <w:rFonts w:ascii="Sylfaen" w:eastAsia="Times New Roman" w:hAnsi="Sylfaen" w:cs="Arial"/>
          <w:color w:val="000000"/>
          <w:sz w:val="16"/>
          <w:szCs w:val="16"/>
        </w:rPr>
        <w:t>დასაზუსტებელია</w:t>
      </w:r>
      <w:proofErr w:type="spellEnd"/>
    </w:p>
    <w:p w:rsidR="00FF5D73" w:rsidRPr="0057502A" w:rsidRDefault="00FF5D73" w:rsidP="00653DD1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Cs w:val="18"/>
          <w:shd w:val="clear" w:color="auto" w:fill="FFFFFF"/>
          <w:lang w:val="ka-GE"/>
        </w:rPr>
      </w:pPr>
    </w:p>
    <w:p w:rsidR="00FF5D73" w:rsidRDefault="00FF5D73" w:rsidP="00653DD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</w:rPr>
      </w:pP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სახელმწიფო ფასიანი ქაღალდების დაუფარავი მოცულობა</w:t>
      </w:r>
      <w:r w:rsidR="00110A1B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ნომინალებ</w:t>
      </w:r>
      <w:r w:rsidR="006D3126">
        <w:rPr>
          <w:rFonts w:ascii="Sylfaen" w:hAnsi="Sylfaen" w:cs="Sylfaen"/>
          <w:b/>
          <w:szCs w:val="18"/>
          <w:shd w:val="clear" w:color="auto" w:fill="FFFFFF"/>
          <w:lang w:val="ka-GE"/>
        </w:rPr>
        <w:t>ში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ვადის და ტიპის მიხედვით </w:t>
      </w:r>
      <w:r w:rsidRPr="0057502A">
        <w:rPr>
          <w:rFonts w:ascii="Sylfaen" w:hAnsi="Sylfaen" w:cs="Sylfaen"/>
          <w:b/>
          <w:szCs w:val="18"/>
          <w:shd w:val="clear" w:color="auto" w:fill="FFFFFF"/>
          <w:lang w:val="ka-GE"/>
        </w:rPr>
        <w:t>201</w:t>
      </w:r>
      <w:r w:rsidR="00335477">
        <w:rPr>
          <w:rFonts w:ascii="Sylfaen" w:hAnsi="Sylfaen" w:cs="Sylfaen"/>
          <w:b/>
          <w:szCs w:val="18"/>
          <w:shd w:val="clear" w:color="auto" w:fill="FFFFFF"/>
        </w:rPr>
        <w:t>8</w:t>
      </w:r>
      <w:r w:rsidRPr="0057502A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წლის </w:t>
      </w:r>
      <w:r w:rsidR="00055C7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30 სექტემბრის </w:t>
      </w:r>
      <w:r w:rsidRPr="0057502A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FF5D73" w:rsidRPr="00F66BF1" w:rsidRDefault="00FF5D73" w:rsidP="00653DD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14"/>
          <w:szCs w:val="14"/>
          <w:shd w:val="clear" w:color="auto" w:fill="FFFFFF"/>
        </w:rPr>
      </w:pPr>
    </w:p>
    <w:p w:rsidR="00FF5D73" w:rsidRPr="00F66BF1" w:rsidRDefault="00FF5D73" w:rsidP="00CB62A2">
      <w:pPr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Sylfaen" w:hAnsi="Sylfaen" w:cs="Sylfaen"/>
          <w:b/>
          <w:i/>
          <w:color w:val="7F7F7F" w:themeColor="text1" w:themeTint="80"/>
          <w:szCs w:val="18"/>
          <w:shd w:val="clear" w:color="auto" w:fill="FFFFFF"/>
        </w:rPr>
      </w:pPr>
      <w:r>
        <w:rPr>
          <w:rFonts w:ascii="Sylfaen" w:hAnsi="Sylfaen" w:cs="Sylfaen"/>
          <w:b/>
          <w:color w:val="7F7F7F" w:themeColor="text1" w:themeTint="80"/>
          <w:szCs w:val="18"/>
          <w:shd w:val="clear" w:color="auto" w:fill="FFFFFF"/>
          <w:lang w:val="ka-GE"/>
        </w:rPr>
        <w:t xml:space="preserve"> </w:t>
      </w:r>
      <w:r w:rsidR="00D0479D">
        <w:rPr>
          <w:rFonts w:ascii="Sylfaen" w:hAnsi="Sylfaen" w:cs="Sylfaen"/>
          <w:b/>
          <w:color w:val="7F7F7F" w:themeColor="text1" w:themeTint="80"/>
          <w:szCs w:val="18"/>
          <w:shd w:val="clear" w:color="auto" w:fill="FFFFFF"/>
        </w:rPr>
        <w:t xml:space="preserve">        </w:t>
      </w:r>
      <w:r>
        <w:rPr>
          <w:rFonts w:ascii="Sylfaen" w:hAnsi="Sylfaen" w:cs="Sylfaen"/>
          <w:b/>
          <w:color w:val="7F7F7F" w:themeColor="text1" w:themeTint="80"/>
          <w:szCs w:val="18"/>
          <w:shd w:val="clear" w:color="auto" w:fill="FFFFFF"/>
          <w:lang w:val="ka-GE"/>
        </w:rPr>
        <w:t xml:space="preserve"> </w:t>
      </w:r>
      <w:r w:rsidRPr="00F66BF1">
        <w:rPr>
          <w:rFonts w:ascii="Sylfaen" w:hAnsi="Sylfaen" w:cs="Sylfaen"/>
          <w:b/>
          <w:i/>
          <w:color w:val="7F7F7F" w:themeColor="text1" w:themeTint="80"/>
          <w:sz w:val="20"/>
          <w:szCs w:val="18"/>
          <w:shd w:val="clear" w:color="auto" w:fill="FFFFFF"/>
          <w:lang w:val="ka-GE"/>
        </w:rPr>
        <w:t>ათასი ლარი</w:t>
      </w:r>
    </w:p>
    <w:tbl>
      <w:tblPr>
        <w:tblW w:w="9269" w:type="dxa"/>
        <w:tblInd w:w="250" w:type="dxa"/>
        <w:tblLook w:val="04A0" w:firstRow="1" w:lastRow="0" w:firstColumn="1" w:lastColumn="0" w:noHBand="0" w:noVBand="1"/>
      </w:tblPr>
      <w:tblGrid>
        <w:gridCol w:w="6945"/>
        <w:gridCol w:w="2324"/>
      </w:tblGrid>
      <w:tr w:rsidR="00653DD1" w:rsidRPr="00653DD1" w:rsidTr="00CB62A2">
        <w:trPr>
          <w:trHeight w:val="40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44F01" w:rsidRPr="00653DD1" w:rsidRDefault="00044F01" w:rsidP="00653DD1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</w:pPr>
            <w:r w:rsidRPr="00653DD1">
              <w:rPr>
                <w:rFonts w:ascii="Sylfaen" w:eastAsia="Times New Roman" w:hAnsi="Sylfaen" w:cs="Arial"/>
                <w:b/>
                <w:bCs/>
                <w:sz w:val="20"/>
                <w:szCs w:val="20"/>
                <w:lang w:val="ka-GE"/>
              </w:rPr>
              <w:t xml:space="preserve">სულ 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D3D3D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F01" w:rsidRPr="00653DD1" w:rsidRDefault="00CB62A2" w:rsidP="00CB62A2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</w:rPr>
              <w:t>3,096,868</w:t>
            </w:r>
          </w:p>
        </w:tc>
      </w:tr>
      <w:tr w:rsidR="00653DD1" w:rsidRPr="00653DD1" w:rsidTr="00CB62A2">
        <w:trPr>
          <w:trHeight w:val="384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44F01" w:rsidRPr="00653DD1" w:rsidRDefault="00044F01" w:rsidP="00653DD1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proofErr w:type="spellStart"/>
            <w:r w:rsidRPr="00653DD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სახაზინო</w:t>
            </w:r>
            <w:proofErr w:type="spellEnd"/>
            <w:r w:rsidRPr="00653DD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653DD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D3D3D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F01" w:rsidRPr="00653DD1" w:rsidRDefault="00CB62A2" w:rsidP="00CB62A2">
            <w:pPr>
              <w:spacing w:after="0" w:line="240" w:lineRule="auto"/>
              <w:jc w:val="center"/>
              <w:rPr>
                <w:rFonts w:ascii="Sylfaen" w:eastAsia="Times New Roman" w:hAnsi="Sylfaen" w:cs="Tahoma"/>
                <w:b/>
                <w:bCs/>
                <w:sz w:val="20"/>
                <w:szCs w:val="20"/>
              </w:rPr>
            </w:pPr>
            <w:r>
              <w:rPr>
                <w:rFonts w:ascii="Sylfaen" w:hAnsi="Sylfaen" w:cs="Tahoma"/>
                <w:b/>
                <w:bCs/>
                <w:sz w:val="20"/>
                <w:szCs w:val="20"/>
              </w:rPr>
              <w:t>2,656,022</w:t>
            </w:r>
          </w:p>
        </w:tc>
      </w:tr>
      <w:tr w:rsidR="00CB62A2" w:rsidRPr="004B1CC7" w:rsidTr="00CB62A2">
        <w:trPr>
          <w:trHeight w:val="6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</w:tcPr>
          <w:p w:rsidR="00CB62A2" w:rsidRPr="00653DD1" w:rsidRDefault="00CB62A2" w:rsidP="00CB62A2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6</w:t>
            </w:r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თვის</w:t>
            </w:r>
            <w:proofErr w:type="spellEnd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ვადიანობის</w:t>
            </w:r>
            <w:proofErr w:type="spellEnd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სახაზინო</w:t>
            </w:r>
            <w:proofErr w:type="spellEnd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D3D3D3"/>
              <w:right w:val="single" w:sz="4" w:space="0" w:color="auto"/>
            </w:tcBorders>
            <w:shd w:val="clear" w:color="auto" w:fill="auto"/>
            <w:vAlign w:val="center"/>
          </w:tcPr>
          <w:p w:rsidR="00CB62A2" w:rsidRPr="00CB62A2" w:rsidRDefault="00CB62A2" w:rsidP="00CB62A2">
            <w:pPr>
              <w:spacing w:after="0"/>
              <w:jc w:val="center"/>
              <w:rPr>
                <w:rFonts w:ascii="Sylfaen" w:hAnsi="Sylfaen" w:cs="Tahoma"/>
                <w:sz w:val="20"/>
                <w:szCs w:val="20"/>
              </w:rPr>
            </w:pPr>
            <w:r w:rsidRPr="00CB62A2">
              <w:rPr>
                <w:rFonts w:ascii="Sylfaen" w:hAnsi="Sylfaen" w:cs="Tahoma"/>
                <w:sz w:val="20"/>
                <w:szCs w:val="20"/>
              </w:rPr>
              <w:t>120,000.0</w:t>
            </w:r>
          </w:p>
        </w:tc>
      </w:tr>
      <w:tr w:rsidR="00CB62A2" w:rsidRPr="00653DD1" w:rsidTr="00CB62A2">
        <w:trPr>
          <w:trHeight w:val="353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vAlign w:val="center"/>
            <w:hideMark/>
          </w:tcPr>
          <w:p w:rsidR="00CB62A2" w:rsidRPr="00653DD1" w:rsidRDefault="00CB62A2" w:rsidP="00CB62A2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12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თვის</w:t>
            </w:r>
            <w:proofErr w:type="spellEnd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ვადიანობის</w:t>
            </w:r>
            <w:proofErr w:type="spellEnd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სახაზინო</w:t>
            </w:r>
            <w:proofErr w:type="spellEnd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ვალდებულებები</w:t>
            </w:r>
            <w:proofErr w:type="spellEnd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D3D3D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A2" w:rsidRPr="00CB62A2" w:rsidRDefault="00CB62A2" w:rsidP="00CB62A2">
            <w:pPr>
              <w:spacing w:after="0"/>
              <w:jc w:val="center"/>
              <w:rPr>
                <w:rFonts w:ascii="Sylfaen" w:hAnsi="Sylfaen" w:cs="Tahoma"/>
                <w:sz w:val="20"/>
                <w:szCs w:val="20"/>
              </w:rPr>
            </w:pPr>
            <w:r w:rsidRPr="00CB62A2">
              <w:rPr>
                <w:rFonts w:ascii="Sylfaen" w:hAnsi="Sylfaen" w:cs="Tahoma"/>
                <w:sz w:val="20"/>
                <w:szCs w:val="20"/>
              </w:rPr>
              <w:t>430,000.0</w:t>
            </w:r>
          </w:p>
        </w:tc>
      </w:tr>
      <w:tr w:rsidR="00CB62A2" w:rsidRPr="00653DD1" w:rsidTr="00CB62A2">
        <w:trPr>
          <w:trHeight w:val="285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vAlign w:val="center"/>
            <w:hideMark/>
          </w:tcPr>
          <w:p w:rsidR="00CB62A2" w:rsidRPr="00653DD1" w:rsidRDefault="00CB62A2" w:rsidP="00CB62A2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2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წლის</w:t>
            </w:r>
            <w:proofErr w:type="spellEnd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ვადიანობის</w:t>
            </w:r>
            <w:proofErr w:type="spellEnd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სახაზინო</w:t>
            </w:r>
            <w:proofErr w:type="spellEnd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ობლიგაციები</w:t>
            </w:r>
            <w:proofErr w:type="spellEnd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D3D3D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A2" w:rsidRPr="00CB62A2" w:rsidRDefault="00CB62A2" w:rsidP="00CB62A2">
            <w:pPr>
              <w:spacing w:after="0"/>
              <w:jc w:val="center"/>
              <w:rPr>
                <w:rFonts w:ascii="Sylfaen" w:hAnsi="Sylfaen" w:cs="Tahoma"/>
                <w:sz w:val="20"/>
                <w:szCs w:val="20"/>
              </w:rPr>
            </w:pPr>
            <w:r w:rsidRPr="00CB62A2">
              <w:rPr>
                <w:rFonts w:ascii="Sylfaen" w:hAnsi="Sylfaen" w:cs="Tahoma"/>
                <w:sz w:val="20"/>
                <w:szCs w:val="20"/>
              </w:rPr>
              <w:t>813,000.0</w:t>
            </w:r>
          </w:p>
        </w:tc>
      </w:tr>
      <w:tr w:rsidR="00CB62A2" w:rsidRPr="00653DD1" w:rsidTr="00CB62A2">
        <w:trPr>
          <w:trHeight w:val="285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vAlign w:val="center"/>
            <w:hideMark/>
          </w:tcPr>
          <w:p w:rsidR="00CB62A2" w:rsidRPr="00653DD1" w:rsidRDefault="00CB62A2" w:rsidP="00CB62A2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5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წლის</w:t>
            </w:r>
            <w:proofErr w:type="spellEnd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ვადიანობის</w:t>
            </w:r>
            <w:proofErr w:type="spellEnd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სახაზინო</w:t>
            </w:r>
            <w:proofErr w:type="spellEnd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ობლიგაციები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D3D3D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A2" w:rsidRPr="00CB62A2" w:rsidRDefault="00CB62A2" w:rsidP="00CB62A2">
            <w:pPr>
              <w:spacing w:after="0"/>
              <w:jc w:val="center"/>
              <w:rPr>
                <w:rFonts w:ascii="Sylfaen" w:hAnsi="Sylfaen" w:cs="Tahoma"/>
                <w:sz w:val="20"/>
                <w:szCs w:val="20"/>
              </w:rPr>
            </w:pPr>
            <w:r w:rsidRPr="00CB62A2">
              <w:rPr>
                <w:rFonts w:ascii="Sylfaen" w:hAnsi="Sylfaen" w:cs="Tahoma"/>
                <w:sz w:val="20"/>
                <w:szCs w:val="20"/>
              </w:rPr>
              <w:t>965,502.0</w:t>
            </w:r>
          </w:p>
        </w:tc>
      </w:tr>
      <w:tr w:rsidR="00CB62A2" w:rsidRPr="00653DD1" w:rsidTr="00CB62A2">
        <w:trPr>
          <w:trHeight w:val="285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vAlign w:val="center"/>
            <w:hideMark/>
          </w:tcPr>
          <w:p w:rsidR="00CB62A2" w:rsidRPr="00653DD1" w:rsidRDefault="00CB62A2" w:rsidP="00CB62A2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10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წლის</w:t>
            </w:r>
            <w:proofErr w:type="spellEnd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ვადიანობის</w:t>
            </w:r>
            <w:proofErr w:type="spellEnd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სახაზინო</w:t>
            </w:r>
            <w:proofErr w:type="spellEnd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Calibri"/>
                <w:sz w:val="20"/>
                <w:szCs w:val="20"/>
              </w:rPr>
              <w:t>ობლიგაციები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D3D3D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2A2" w:rsidRPr="00CB62A2" w:rsidRDefault="00CB62A2" w:rsidP="00CB62A2">
            <w:pPr>
              <w:spacing w:after="0"/>
              <w:jc w:val="center"/>
              <w:rPr>
                <w:rFonts w:ascii="Sylfaen" w:hAnsi="Sylfaen" w:cs="Tahoma"/>
                <w:sz w:val="20"/>
                <w:szCs w:val="20"/>
              </w:rPr>
            </w:pPr>
            <w:r w:rsidRPr="00CB62A2">
              <w:rPr>
                <w:rFonts w:ascii="Sylfaen" w:hAnsi="Sylfaen" w:cs="Tahoma"/>
                <w:sz w:val="20"/>
                <w:szCs w:val="20"/>
              </w:rPr>
              <w:t>372,520.0</w:t>
            </w:r>
          </w:p>
        </w:tc>
      </w:tr>
      <w:tr w:rsidR="00653DD1" w:rsidRPr="00653DD1" w:rsidTr="00CB62A2">
        <w:trPr>
          <w:trHeight w:val="380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44F01" w:rsidRPr="00653DD1" w:rsidRDefault="00044F01" w:rsidP="00653DD1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proofErr w:type="spellStart"/>
            <w:r w:rsidRPr="00653DD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სხვა</w:t>
            </w:r>
            <w:proofErr w:type="spellEnd"/>
            <w:r w:rsidRPr="00653DD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სახელმწიფო</w:t>
            </w:r>
            <w:proofErr w:type="spellEnd"/>
            <w:r w:rsidRPr="00653DD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653DD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D3D3D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F01" w:rsidRPr="00653DD1" w:rsidRDefault="00CB62A2" w:rsidP="00CB62A2">
            <w:pPr>
              <w:spacing w:after="0" w:line="240" w:lineRule="auto"/>
              <w:jc w:val="center"/>
              <w:rPr>
                <w:rFonts w:ascii="Sylfaen" w:eastAsia="Times New Roman" w:hAnsi="Sylfaen" w:cs="Tahoma"/>
                <w:b/>
                <w:bCs/>
                <w:sz w:val="20"/>
                <w:szCs w:val="20"/>
              </w:rPr>
            </w:pPr>
            <w:r w:rsidRPr="00CB62A2">
              <w:rPr>
                <w:rFonts w:ascii="Sylfaen" w:hAnsi="Sylfaen" w:cs="Arial"/>
                <w:b/>
                <w:bCs/>
                <w:sz w:val="20"/>
                <w:szCs w:val="20"/>
              </w:rPr>
              <w:t>44</w:t>
            </w:r>
            <w:r w:rsidR="00335477" w:rsidRPr="00CB62A2">
              <w:rPr>
                <w:rFonts w:ascii="Sylfaen" w:hAnsi="Sylfaen" w:cs="Arial"/>
                <w:b/>
                <w:bCs/>
                <w:sz w:val="20"/>
                <w:szCs w:val="20"/>
              </w:rPr>
              <w:t>0</w:t>
            </w:r>
            <w:r w:rsidR="004B1CC7" w:rsidRPr="00CB62A2">
              <w:rPr>
                <w:rFonts w:ascii="Sylfaen" w:hAnsi="Sylfaen" w:cs="Arial"/>
                <w:b/>
                <w:bCs/>
                <w:sz w:val="20"/>
                <w:szCs w:val="20"/>
              </w:rPr>
              <w:t>,846</w:t>
            </w:r>
          </w:p>
        </w:tc>
      </w:tr>
      <w:tr w:rsidR="00653DD1" w:rsidRPr="00653DD1" w:rsidTr="00CB62A2">
        <w:trPr>
          <w:trHeight w:val="313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91646" w:rsidRPr="00653DD1" w:rsidRDefault="00091646" w:rsidP="00653DD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653DD1">
              <w:rPr>
                <w:rFonts w:ascii="Sylfaen" w:eastAsia="Times New Roman" w:hAnsi="Sylfaen" w:cs="Arial"/>
                <w:sz w:val="20"/>
                <w:szCs w:val="20"/>
              </w:rPr>
              <w:t>სახელმწიფო</w:t>
            </w:r>
            <w:proofErr w:type="spellEnd"/>
            <w:r w:rsidRPr="00653DD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Arial"/>
                <w:sz w:val="20"/>
                <w:szCs w:val="20"/>
              </w:rPr>
              <w:t>ობლიგაცია</w:t>
            </w:r>
            <w:proofErr w:type="spellEnd"/>
            <w:r w:rsidRPr="00653DD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Arial"/>
                <w:sz w:val="20"/>
                <w:szCs w:val="20"/>
              </w:rPr>
              <w:t>სებ</w:t>
            </w:r>
            <w:proofErr w:type="spellEnd"/>
            <w:r w:rsidRPr="00653DD1">
              <w:rPr>
                <w:rFonts w:ascii="Sylfaen" w:eastAsia="Times New Roman" w:hAnsi="Sylfaen" w:cs="Arial"/>
                <w:sz w:val="20"/>
                <w:szCs w:val="20"/>
              </w:rPr>
              <w:t>-</w:t>
            </w:r>
            <w:r w:rsidRPr="00653DD1">
              <w:rPr>
                <w:rFonts w:ascii="Sylfaen" w:eastAsia="Times New Roman" w:hAnsi="Sylfaen" w:cs="Arial"/>
                <w:sz w:val="20"/>
                <w:szCs w:val="20"/>
                <w:lang w:val="ka-GE"/>
              </w:rPr>
              <w:t>ს</w:t>
            </w:r>
            <w:proofErr w:type="spellStart"/>
            <w:r w:rsidRPr="00653DD1">
              <w:rPr>
                <w:rFonts w:ascii="Sylfaen" w:eastAsia="Times New Roman" w:hAnsi="Sylfaen" w:cs="Arial"/>
                <w:sz w:val="20"/>
                <w:szCs w:val="20"/>
              </w:rPr>
              <w:t>თვის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:rsidR="00091646" w:rsidRPr="00CB62A2" w:rsidRDefault="00335477" w:rsidP="00CB62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</w:rPr>
              <w:t>280,</w:t>
            </w:r>
            <w:r w:rsidR="00091646" w:rsidRPr="00653DD1">
              <w:rPr>
                <w:rFonts w:ascii="Sylfaen" w:hAnsi="Sylfaen" w:cs="Tahoma"/>
                <w:sz w:val="20"/>
                <w:szCs w:val="20"/>
              </w:rPr>
              <w:t>846</w:t>
            </w:r>
            <w:r w:rsidR="00CB62A2">
              <w:rPr>
                <w:rFonts w:ascii="Sylfaen" w:hAnsi="Sylfaen" w:cs="Tahoma"/>
                <w:sz w:val="20"/>
                <w:szCs w:val="20"/>
                <w:lang w:val="ka-GE"/>
              </w:rPr>
              <w:t>.0</w:t>
            </w:r>
          </w:p>
        </w:tc>
      </w:tr>
      <w:tr w:rsidR="00653DD1" w:rsidRPr="00653DD1" w:rsidTr="00CB62A2">
        <w:trPr>
          <w:trHeight w:val="313"/>
        </w:trPr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091646" w:rsidRPr="00653DD1" w:rsidRDefault="00091646" w:rsidP="00653DD1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proofErr w:type="spellStart"/>
            <w:r w:rsidRPr="00653DD1">
              <w:rPr>
                <w:rFonts w:ascii="Sylfaen" w:eastAsia="Times New Roman" w:hAnsi="Sylfaen" w:cs="Arial"/>
                <w:sz w:val="20"/>
                <w:szCs w:val="20"/>
              </w:rPr>
              <w:t>სახელმწიფო</w:t>
            </w:r>
            <w:proofErr w:type="spellEnd"/>
            <w:r w:rsidRPr="00653DD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Arial"/>
                <w:sz w:val="20"/>
                <w:szCs w:val="20"/>
              </w:rPr>
              <w:t>ობლიგაციები</w:t>
            </w:r>
            <w:proofErr w:type="spellEnd"/>
            <w:r w:rsidRPr="00653DD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Arial"/>
                <w:sz w:val="20"/>
                <w:szCs w:val="20"/>
              </w:rPr>
              <w:t>ღია</w:t>
            </w:r>
            <w:proofErr w:type="spellEnd"/>
            <w:r w:rsidRPr="00653DD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Arial"/>
                <w:sz w:val="20"/>
                <w:szCs w:val="20"/>
              </w:rPr>
              <w:t>ბაზრის</w:t>
            </w:r>
            <w:proofErr w:type="spellEnd"/>
            <w:r w:rsidRPr="00653DD1">
              <w:rPr>
                <w:rFonts w:ascii="Sylfaen" w:eastAsia="Times New Roman" w:hAnsi="Sylfaen" w:cs="Arial"/>
                <w:sz w:val="20"/>
                <w:szCs w:val="20"/>
              </w:rPr>
              <w:t xml:space="preserve"> </w:t>
            </w:r>
            <w:proofErr w:type="spellStart"/>
            <w:r w:rsidRPr="00653DD1">
              <w:rPr>
                <w:rFonts w:ascii="Sylfaen" w:eastAsia="Times New Roman" w:hAnsi="Sylfaen" w:cs="Arial"/>
                <w:sz w:val="20"/>
                <w:szCs w:val="20"/>
              </w:rPr>
              <w:t>ოპერაციებისთვის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646" w:rsidRPr="00CB62A2" w:rsidRDefault="00335477" w:rsidP="00CB62A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ka-GE"/>
              </w:rPr>
            </w:pPr>
            <w:r>
              <w:rPr>
                <w:rFonts w:ascii="Sylfaen" w:hAnsi="Sylfaen" w:cs="Tahoma"/>
                <w:sz w:val="20"/>
                <w:szCs w:val="20"/>
              </w:rPr>
              <w:t>1</w:t>
            </w:r>
            <w:r w:rsidR="00CB62A2">
              <w:rPr>
                <w:rFonts w:ascii="Sylfaen" w:hAnsi="Sylfaen" w:cs="Tahoma"/>
                <w:sz w:val="20"/>
                <w:szCs w:val="20"/>
                <w:lang w:val="ka-GE"/>
              </w:rPr>
              <w:t>6</w:t>
            </w:r>
            <w:r>
              <w:rPr>
                <w:rFonts w:ascii="Sylfaen" w:hAnsi="Sylfaen" w:cs="Tahoma"/>
                <w:sz w:val="20"/>
                <w:szCs w:val="20"/>
              </w:rPr>
              <w:t>0</w:t>
            </w:r>
            <w:r w:rsidR="00091646" w:rsidRPr="00653DD1">
              <w:rPr>
                <w:rFonts w:ascii="Sylfaen" w:hAnsi="Sylfaen" w:cs="Tahoma"/>
                <w:sz w:val="20"/>
                <w:szCs w:val="20"/>
              </w:rPr>
              <w:t>,000</w:t>
            </w:r>
            <w:r w:rsidR="00CB62A2">
              <w:rPr>
                <w:rFonts w:ascii="Sylfaen" w:hAnsi="Sylfaen" w:cs="Tahoma"/>
                <w:sz w:val="20"/>
                <w:szCs w:val="20"/>
                <w:lang w:val="ka-GE"/>
              </w:rPr>
              <w:t>.0</w:t>
            </w:r>
          </w:p>
        </w:tc>
      </w:tr>
      <w:tr w:rsidR="00653DD1" w:rsidRPr="00653DD1" w:rsidTr="00653DD1">
        <w:trPr>
          <w:trHeight w:val="163"/>
        </w:trPr>
        <w:tc>
          <w:tcPr>
            <w:tcW w:w="9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D40" w:rsidRPr="00653DD1" w:rsidRDefault="009D1D40" w:rsidP="00653DD1">
            <w:pPr>
              <w:spacing w:after="0" w:line="240" w:lineRule="auto"/>
              <w:rPr>
                <w:rFonts w:ascii="Sylfaen" w:eastAsia="Times New Roman" w:hAnsi="Sylfaen" w:cs="Tahoma"/>
                <w:sz w:val="20"/>
                <w:szCs w:val="20"/>
              </w:rPr>
            </w:pPr>
          </w:p>
        </w:tc>
      </w:tr>
      <w:tr w:rsidR="00653DD1" w:rsidRPr="00653DD1" w:rsidTr="00653DD1">
        <w:trPr>
          <w:trHeight w:val="175"/>
        </w:trPr>
        <w:tc>
          <w:tcPr>
            <w:tcW w:w="9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D40" w:rsidRPr="00653DD1" w:rsidRDefault="009D1D40" w:rsidP="00653DD1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  <w:p w:rsidR="0050185A" w:rsidRPr="00653DD1" w:rsidRDefault="0050185A" w:rsidP="00653DD1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</w:p>
        </w:tc>
      </w:tr>
    </w:tbl>
    <w:p w:rsidR="000508A2" w:rsidRDefault="000508A2" w:rsidP="000508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t>201</w:t>
      </w:r>
      <w:r>
        <w:rPr>
          <w:rFonts w:ascii="Sylfaen" w:hAnsi="Sylfaen"/>
          <w:lang w:val="ka-GE"/>
        </w:rPr>
        <w:t>9</w:t>
      </w:r>
      <w: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ბიუჯეტის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პროექტი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ითვალისწინებს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საშინაო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ვალდებულებების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მოსალოდნელ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კლებას</w:t>
      </w:r>
      <w:proofErr w:type="spellEnd"/>
      <w:r>
        <w:t xml:space="preserve"> </w:t>
      </w:r>
      <w:r>
        <w:rPr>
          <w:rFonts w:ascii="Sylfaen" w:hAnsi="Sylfaen"/>
          <w:lang w:val="ka-GE"/>
        </w:rPr>
        <w:t>1,</w:t>
      </w:r>
      <w:r>
        <w:rPr>
          <w:rFonts w:ascii="Sylfaen" w:hAnsi="Sylfaen"/>
        </w:rPr>
        <w:t>2</w:t>
      </w:r>
      <w:r>
        <w:rPr>
          <w:rFonts w:ascii="Sylfaen" w:hAnsi="Sylfaen"/>
          <w:lang w:val="ka-GE"/>
        </w:rPr>
        <w:t>40</w:t>
      </w:r>
      <w:r>
        <w:rPr>
          <w:rFonts w:ascii="Sylfaen" w:hAnsi="Sylfaen"/>
        </w:rPr>
        <w:t>,</w:t>
      </w:r>
      <w:r>
        <w:rPr>
          <w:rFonts w:ascii="Sylfaen" w:hAnsi="Sylfaen"/>
          <w:lang w:val="ka-GE"/>
        </w:rPr>
        <w:t>000</w:t>
      </w:r>
      <w:r>
        <w:rPr>
          <w:rFonts w:ascii="Sylfaen" w:hAnsi="Sylfaen"/>
        </w:rPr>
        <w:t>.0</w:t>
      </w:r>
      <w:r>
        <w:t xml:space="preserve"> </w:t>
      </w:r>
      <w:proofErr w:type="spellStart"/>
      <w:r>
        <w:rPr>
          <w:rFonts w:ascii="Sylfaen" w:hAnsi="Sylfaen" w:cs="Sylfaen"/>
        </w:rPr>
        <w:t>ათასი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ლარის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ოდენობით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მათ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სახაზინო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ვალდებულებების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სახაზინო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ობლიგაციების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ძირითადი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თანხის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დაფარვას</w:t>
      </w:r>
      <w:proofErr w:type="spellEnd"/>
      <w:r>
        <w:t xml:space="preserve"> - </w:t>
      </w:r>
      <w:r>
        <w:rPr>
          <w:rFonts w:ascii="Sylfaen" w:hAnsi="Sylfaen"/>
          <w:lang w:val="ka-GE"/>
        </w:rPr>
        <w:t>1,200</w:t>
      </w:r>
      <w:r>
        <w:rPr>
          <w:rFonts w:ascii="Sylfaen" w:hAnsi="Sylfaen"/>
        </w:rPr>
        <w:t>,</w:t>
      </w:r>
      <w:r>
        <w:rPr>
          <w:rFonts w:ascii="Sylfaen" w:hAnsi="Sylfaen"/>
          <w:lang w:val="ka-GE"/>
        </w:rPr>
        <w:t>000</w:t>
      </w:r>
      <w:r>
        <w:rPr>
          <w:rFonts w:ascii="Sylfaen" w:hAnsi="Sylfaen"/>
        </w:rPr>
        <w:t>.0</w:t>
      </w:r>
      <w:r>
        <w:t xml:space="preserve"> </w:t>
      </w:r>
      <w:proofErr w:type="spellStart"/>
      <w:r>
        <w:rPr>
          <w:rFonts w:ascii="Sylfaen" w:hAnsi="Sylfaen" w:cs="Sylfaen"/>
        </w:rPr>
        <w:t>ათასი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ლარის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ოდენობით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ობლიგაციების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ძირითადი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თანხის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დაფარვას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სებ</w:t>
      </w:r>
      <w:r>
        <w:t>-</w:t>
      </w:r>
      <w:r>
        <w:rPr>
          <w:rFonts w:ascii="Sylfaen" w:hAnsi="Sylfaen" w:cs="Sylfaen"/>
        </w:rPr>
        <w:t>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მიმართ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ვალი</w:t>
      </w:r>
      <w:proofErr w:type="spellEnd"/>
      <w:r>
        <w:t xml:space="preserve">) – </w:t>
      </w:r>
      <w:r>
        <w:rPr>
          <w:rFonts w:ascii="Sylfaen" w:hAnsi="Sylfaen"/>
          <w:lang w:val="ka-GE"/>
        </w:rPr>
        <w:t>40,000</w:t>
      </w:r>
      <w:r>
        <w:rPr>
          <w:rFonts w:ascii="Sylfaen" w:hAnsi="Sylfaen"/>
        </w:rPr>
        <w:t>.0</w:t>
      </w:r>
      <w:r>
        <w:t xml:space="preserve"> </w:t>
      </w:r>
      <w:proofErr w:type="spellStart"/>
      <w:r>
        <w:rPr>
          <w:rFonts w:ascii="Sylfaen" w:hAnsi="Sylfaen" w:cs="Sylfaen"/>
        </w:rPr>
        <w:t>ათასი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ლარის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ოდენობით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ბანკის</w:t>
      </w:r>
      <w:proofErr w:type="spellEnd"/>
      <w:r>
        <w:t xml:space="preserve"> 2006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15 </w:t>
      </w:r>
      <w:proofErr w:type="spellStart"/>
      <w:r>
        <w:rPr>
          <w:rFonts w:ascii="Sylfaen" w:hAnsi="Sylfaen" w:cs="Sylfaen"/>
        </w:rPr>
        <w:t>მაისის</w:t>
      </w:r>
      <w:proofErr w:type="spellEnd"/>
      <w:r>
        <w:t xml:space="preserve"> „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ბანკისადმი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დავალიანების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დაფარვის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ღონისძიებების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“ 2006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20 </w:t>
      </w:r>
      <w:proofErr w:type="spellStart"/>
      <w:r>
        <w:rPr>
          <w:rFonts w:ascii="Sylfaen" w:hAnsi="Sylfaen" w:cs="Sylfaen"/>
        </w:rPr>
        <w:t>მარტის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შეთანხმებაში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თაობაზე</w:t>
      </w:r>
      <w:proofErr w:type="spellEnd"/>
      <w:r>
        <w:t xml:space="preserve">“ </w:t>
      </w:r>
      <w:proofErr w:type="spellStart"/>
      <w:r>
        <w:rPr>
          <w:rFonts w:ascii="Sylfaen" w:hAnsi="Sylfaen" w:cs="Sylfaen"/>
        </w:rPr>
        <w:t>შეთანხმების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შესაბამისად</w:t>
      </w:r>
      <w:proofErr w:type="spellEnd"/>
      <w:r>
        <w:t xml:space="preserve">. </w:t>
      </w:r>
    </w:p>
    <w:p w:rsidR="000508A2" w:rsidRDefault="000508A2" w:rsidP="000508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t xml:space="preserve">2019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განმავლობაში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სახაზინო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ვალდებულებების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სახაზინო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ობლიგაციების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გამოშვება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განხორციელდება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მოცულობით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რომელიც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ფასიანი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ქაღალდების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პირველად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ბაზარზე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არსებული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განაკვეთების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გათვალისწინებით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ბიუჯეტში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შემოსულ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დაფარულ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ძირითად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თანხებს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შორის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სხვაობას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არაუმეტეს</w:t>
      </w:r>
      <w:proofErr w:type="spellEnd"/>
      <w:r>
        <w:t xml:space="preserve"> </w:t>
      </w:r>
      <w:r>
        <w:rPr>
          <w:rFonts w:ascii="Sylfaen" w:hAnsi="Sylfaen"/>
          <w:lang w:val="ka-GE"/>
        </w:rPr>
        <w:t>5</w:t>
      </w:r>
      <w:r>
        <w:t xml:space="preserve">00,000.0 </w:t>
      </w:r>
      <w:proofErr w:type="spellStart"/>
      <w:r>
        <w:rPr>
          <w:rFonts w:ascii="Sylfaen" w:hAnsi="Sylfaen" w:cs="Sylfaen"/>
        </w:rPr>
        <w:t>ათასი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ლარის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ოდენობით</w:t>
      </w:r>
      <w:proofErr w:type="spellEnd"/>
      <w:r>
        <w:t xml:space="preserve">. </w:t>
      </w:r>
    </w:p>
    <w:p w:rsidR="000508A2" w:rsidRDefault="000508A2" w:rsidP="000508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>
        <w:t>201</w:t>
      </w:r>
      <w:r>
        <w:rPr>
          <w:rFonts w:ascii="Sylfaen" w:hAnsi="Sylfaen"/>
          <w:lang w:val="ka-GE"/>
        </w:rPr>
        <w:t>9</w:t>
      </w:r>
      <w:r>
        <w:t xml:space="preserve">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ბიუჯეტის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პროექტით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განსაზღვრული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საგარეო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საშინაო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პარამეტრები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უზრუნველყოფენ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მდგრადობის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შენარჩუნებას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საშუალო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ვადიან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პერიოდში</w:t>
      </w:r>
      <w:proofErr w:type="spellEnd"/>
    </w:p>
    <w:p w:rsidR="00F6697A" w:rsidRDefault="00F6697A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6B5421" w:rsidRDefault="006B5421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6B5421" w:rsidRDefault="006B5421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9408F0" w:rsidRDefault="009408F0" w:rsidP="00653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CB62A2" w:rsidRDefault="00CB62A2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br w:type="page"/>
      </w:r>
    </w:p>
    <w:p w:rsidR="00F6697A" w:rsidRDefault="007E711B" w:rsidP="00653DD1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537CFA">
        <w:rPr>
          <w:rFonts w:ascii="Sylfaen" w:hAnsi="Sylfaen"/>
          <w:b/>
          <w:sz w:val="20"/>
          <w:szCs w:val="20"/>
          <w:lang w:val="ka-GE"/>
        </w:rPr>
        <w:t>სახელმწიფო ვალის საპროგნოზო ზღვრული მოცულობა 201</w:t>
      </w:r>
      <w:r w:rsidR="00BC79A6">
        <w:rPr>
          <w:rFonts w:ascii="Sylfaen" w:hAnsi="Sylfaen"/>
          <w:b/>
          <w:sz w:val="20"/>
          <w:szCs w:val="20"/>
        </w:rPr>
        <w:t>9</w:t>
      </w:r>
      <w:r w:rsidRPr="00537CFA">
        <w:rPr>
          <w:rFonts w:ascii="Sylfaen" w:hAnsi="Sylfaen"/>
          <w:b/>
          <w:sz w:val="20"/>
          <w:szCs w:val="20"/>
          <w:lang w:val="ka-GE"/>
        </w:rPr>
        <w:t xml:space="preserve"> წლის ბოლოსთვის</w:t>
      </w:r>
    </w:p>
    <w:tbl>
      <w:tblPr>
        <w:tblW w:w="9568" w:type="dxa"/>
        <w:tblLook w:val="04A0" w:firstRow="1" w:lastRow="0" w:firstColumn="1" w:lastColumn="0" w:noHBand="0" w:noVBand="1"/>
      </w:tblPr>
      <w:tblGrid>
        <w:gridCol w:w="427"/>
        <w:gridCol w:w="7461"/>
        <w:gridCol w:w="1680"/>
      </w:tblGrid>
      <w:tr w:rsidR="00177DA4" w:rsidRPr="00177DA4" w:rsidTr="00177DA4">
        <w:trPr>
          <w:trHeight w:val="265"/>
        </w:trPr>
        <w:tc>
          <w:tcPr>
            <w:tcW w:w="78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000000"/>
              </w:rPr>
              <w:t>კრედიტორი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საპროგნოზო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ნაშთი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177DA4" w:rsidRPr="00177DA4" w:rsidTr="00177DA4">
        <w:trPr>
          <w:trHeight w:val="278"/>
        </w:trPr>
        <w:tc>
          <w:tcPr>
            <w:tcW w:w="78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6A6A6"/>
            </w:tcBorders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31.12.2019    </w:t>
            </w:r>
          </w:p>
        </w:tc>
      </w:tr>
      <w:tr w:rsidR="00177DA4" w:rsidRPr="00177DA4" w:rsidTr="00177DA4">
        <w:trPr>
          <w:trHeight w:val="278"/>
        </w:trPr>
        <w:tc>
          <w:tcPr>
            <w:tcW w:w="78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6A6A6"/>
            </w:tcBorders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ათასი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ლარი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177DA4" w:rsidRPr="00177DA4" w:rsidTr="00177DA4">
        <w:trPr>
          <w:trHeight w:val="278"/>
        </w:trPr>
        <w:tc>
          <w:tcPr>
            <w:tcW w:w="7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2A1C7" w:themeFill="accent4" w:themeFillTint="99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სულ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სახელმწიფოს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მიერ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და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სახელმწიფოს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გარანტიით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აღებული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საგარეო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ვალის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ზღვრული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მოცულობა</w:t>
            </w:r>
            <w:proofErr w:type="spell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</w:rPr>
              <w:t>15,710,176</w:t>
            </w:r>
          </w:p>
        </w:tc>
      </w:tr>
      <w:tr w:rsidR="00177DA4" w:rsidRPr="00177DA4" w:rsidTr="00177DA4">
        <w:trPr>
          <w:trHeight w:val="278"/>
        </w:trPr>
        <w:tc>
          <w:tcPr>
            <w:tcW w:w="7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6A6A6"/>
              <w:right w:val="nil"/>
            </w:tcBorders>
            <w:shd w:val="clear" w:color="000000" w:fill="D9D9D9"/>
            <w:vAlign w:val="center"/>
            <w:hideMark/>
          </w:tcPr>
          <w:p w:rsidR="00177DA4" w:rsidRPr="00177DA4" w:rsidRDefault="00177DA4" w:rsidP="00336384">
            <w:pPr>
              <w:spacing w:after="0" w:line="240" w:lineRule="auto"/>
              <w:ind w:firstLine="427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მრავალმხრივი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10,882,737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მსოფლიო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ბანკი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(WB)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5,241,277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სოფლის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მეურნეობის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საერთაშორისო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ფონდი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(IFAD)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87,819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რეკონსტრუქციისა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და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ბანკი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(EBRD)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431,592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აზიის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ბანკი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(ADB)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3,433,687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ევროპის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ბანკი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(EIB)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1,437,591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ევროკავშირი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(EU)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177,633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ევროსაბჭოს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განვითარების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ბანკი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(CEB)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აზიის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ინფრასტრუქტურის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საინვესტიციო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ბანკი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(AIIB)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68,638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გარემოს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დაცვის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სკანდინავიური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საფინანსო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კორპორაცია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(NEFCO)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3,000</w:t>
            </w:r>
          </w:p>
        </w:tc>
      </w:tr>
      <w:tr w:rsidR="00177DA4" w:rsidRPr="00177DA4" w:rsidTr="00177DA4">
        <w:trPr>
          <w:trHeight w:val="278"/>
        </w:trPr>
        <w:tc>
          <w:tcPr>
            <w:tcW w:w="7888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nil"/>
            </w:tcBorders>
            <w:shd w:val="clear" w:color="000000" w:fill="D9D9D9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402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ორმხრივი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2,792,379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35,799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18,087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570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34,832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13,753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138,663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19,256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უზბეკეთი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266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უკრაინა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243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35,834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ჩინეთი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3,888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გერმანია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1,045,548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690,250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კუვეიტი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32,400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ნიდერლანდები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1,649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ამერიკა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48,273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673,071</w:t>
            </w:r>
          </w:p>
        </w:tc>
      </w:tr>
      <w:tr w:rsidR="00177DA4" w:rsidRPr="00177DA4" w:rsidTr="00177DA4">
        <w:trPr>
          <w:trHeight w:val="278"/>
        </w:trPr>
        <w:tc>
          <w:tcPr>
            <w:tcW w:w="7888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nil"/>
            </w:tcBorders>
            <w:shd w:val="clear" w:color="000000" w:fill="D9D9D9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402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სხვა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1,350,000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ევრობონდები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1,350,000</w:t>
            </w:r>
          </w:p>
        </w:tc>
      </w:tr>
      <w:tr w:rsidR="00177DA4" w:rsidRPr="00177DA4" w:rsidTr="00177DA4">
        <w:trPr>
          <w:trHeight w:val="278"/>
        </w:trPr>
        <w:tc>
          <w:tcPr>
            <w:tcW w:w="7888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6A6A6"/>
              <w:right w:val="nil"/>
            </w:tcBorders>
            <w:shd w:val="clear" w:color="000000" w:fill="D9D9D9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402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სახელმწიფოს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გარანტიით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აღებული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კრედიტები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4,659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გერმანია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4,659</w:t>
            </w:r>
          </w:p>
        </w:tc>
      </w:tr>
      <w:tr w:rsidR="00177DA4" w:rsidRPr="00177DA4" w:rsidTr="00177DA4">
        <w:trPr>
          <w:trHeight w:val="278"/>
        </w:trPr>
        <w:tc>
          <w:tcPr>
            <w:tcW w:w="7888" w:type="dxa"/>
            <w:gridSpan w:val="2"/>
            <w:tcBorders>
              <w:top w:val="single" w:sz="8" w:space="0" w:color="A6A6A6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402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სავალუტო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ფონდი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ბანკი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680,400</w:t>
            </w:r>
          </w:p>
        </w:tc>
      </w:tr>
      <w:tr w:rsidR="00177DA4" w:rsidRPr="00177DA4" w:rsidTr="00177DA4">
        <w:trPr>
          <w:trHeight w:val="278"/>
        </w:trPr>
        <w:tc>
          <w:tcPr>
            <w:tcW w:w="7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177DA4" w:rsidRPr="00177DA4" w:rsidRDefault="00177DA4" w:rsidP="00336384">
            <w:pPr>
              <w:spacing w:after="0" w:line="240" w:lineRule="auto"/>
              <w:ind w:leftChars="-1" w:left="-2"/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საშინაო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ვალის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ზღვრული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მოცულობა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</w:rPr>
              <w:t>4,400,000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ეროვნული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ბანკისთვის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განკუთვნილი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ერთწლიანი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ყოველწლიურად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განახლებადი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ობლიგაცია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240,846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სხვადასხვა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ვადის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სახელმწიფო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ობლიგაციები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ღია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ბაზრის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ოპერაციებისთვის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152,000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ფინანსთა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სამინისტროს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სახაზინო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ვალდებულებები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567,295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ფინანსთა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სამინისტროს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სახაზინო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ობლიგაციები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2,767,534</w:t>
            </w:r>
          </w:p>
        </w:tc>
      </w:tr>
      <w:tr w:rsidR="00177DA4" w:rsidRPr="00177DA4" w:rsidTr="00177DA4">
        <w:trPr>
          <w:trHeight w:val="278"/>
        </w:trPr>
        <w:tc>
          <w:tcPr>
            <w:tcW w:w="427" w:type="dxa"/>
            <w:tcBorders>
              <w:top w:val="nil"/>
              <w:left w:val="single" w:sz="8" w:space="0" w:color="auto"/>
              <w:bottom w:val="nil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ind w:firstLineChars="200" w:firstLine="320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ისტორიული</w:t>
            </w:r>
            <w:proofErr w:type="spellEnd"/>
            <w:r w:rsidRPr="00177DA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77DA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672,325</w:t>
            </w:r>
          </w:p>
        </w:tc>
      </w:tr>
      <w:tr w:rsidR="00177DA4" w:rsidRPr="00177DA4" w:rsidTr="00177DA4">
        <w:trPr>
          <w:trHeight w:val="278"/>
        </w:trPr>
        <w:tc>
          <w:tcPr>
            <w:tcW w:w="7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სულ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სახელმწიფო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ვალის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ზღვრული</w:t>
            </w:r>
            <w:proofErr w:type="spellEnd"/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177DA4">
              <w:rPr>
                <w:rFonts w:ascii="Sylfaen" w:eastAsia="Times New Roman" w:hAnsi="Sylfaen" w:cs="Times New Roman"/>
                <w:b/>
                <w:bCs/>
                <w:color w:val="FFFFFF"/>
                <w:sz w:val="20"/>
                <w:szCs w:val="20"/>
              </w:rPr>
              <w:t>მოცულობა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  <w:hideMark/>
          </w:tcPr>
          <w:p w:rsidR="00177DA4" w:rsidRPr="00177DA4" w:rsidRDefault="00177DA4" w:rsidP="00177D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77DA4">
              <w:rPr>
                <w:rFonts w:ascii="Calibri" w:eastAsia="Times New Roman" w:hAnsi="Calibri" w:cs="Times New Roman"/>
                <w:b/>
                <w:bCs/>
                <w:color w:val="FFFFFF"/>
              </w:rPr>
              <w:t>20,110,176</w:t>
            </w:r>
          </w:p>
        </w:tc>
      </w:tr>
    </w:tbl>
    <w:p w:rsidR="00174F55" w:rsidRDefault="00174F55" w:rsidP="00653DD1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173BAA" w:rsidRDefault="00544AAC" w:rsidP="00E02DBC">
      <w:pPr>
        <w:spacing w:before="240" w:after="0"/>
        <w:ind w:firstLine="709"/>
        <w:jc w:val="both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>
        <w:rPr>
          <w:rFonts w:ascii="Sylfaen" w:hAnsi="Sylfaen"/>
          <w:i/>
          <w:sz w:val="18"/>
          <w:szCs w:val="18"/>
          <w:lang w:val="ka-GE"/>
        </w:rPr>
        <w:t>შენიშვნა: გამოთვლისას გამოყენებულია გაცვლითი კურსი: 1 აშშ დოლარი = 2.</w:t>
      </w:r>
      <w:r w:rsidR="00055C79">
        <w:rPr>
          <w:rFonts w:ascii="Sylfaen" w:hAnsi="Sylfaen"/>
          <w:i/>
          <w:sz w:val="18"/>
          <w:szCs w:val="18"/>
          <w:lang w:val="ka-GE"/>
        </w:rPr>
        <w:t>7</w:t>
      </w:r>
      <w:r>
        <w:rPr>
          <w:rFonts w:ascii="Sylfaen" w:hAnsi="Sylfaen"/>
          <w:i/>
          <w:sz w:val="18"/>
          <w:szCs w:val="18"/>
          <w:lang w:val="ka-GE"/>
        </w:rPr>
        <w:t xml:space="preserve"> ლარი. სახელმწიფო ვალის ზღვრული მოცულობა გადაანგარიშდება შესაბამის პერიოდში მოქმედი გაცვლითი კურსის მიხედვით.</w:t>
      </w:r>
      <w:r w:rsidR="00F6697A">
        <w:rPr>
          <w:rFonts w:ascii="Sylfaen" w:hAnsi="Sylfaen"/>
          <w:b/>
          <w:bCs/>
          <w:i/>
          <w:color w:val="7F7F7F" w:themeColor="text1" w:themeTint="80"/>
          <w:sz w:val="18"/>
          <w:szCs w:val="18"/>
          <w:lang w:val="ka-GE"/>
        </w:rPr>
        <w:t xml:space="preserve"> </w:t>
      </w:r>
      <w:r w:rsidR="00D713F6"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  <w:t xml:space="preserve">        </w:t>
      </w:r>
    </w:p>
    <w:sectPr w:rsidR="00173BAA" w:rsidSect="00537CFA">
      <w:footerReference w:type="default" r:id="rId11"/>
      <w:pgSz w:w="11907" w:h="16839" w:code="9"/>
      <w:pgMar w:top="284" w:right="1275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97" w:rsidRDefault="00943C97" w:rsidP="00400BED">
      <w:pPr>
        <w:spacing w:after="0" w:line="240" w:lineRule="auto"/>
      </w:pPr>
      <w:r>
        <w:separator/>
      </w:r>
    </w:p>
  </w:endnote>
  <w:endnote w:type="continuationSeparator" w:id="0">
    <w:p w:rsidR="00943C97" w:rsidRDefault="00943C97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986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331" w:rsidRDefault="00E04331" w:rsidP="00537CFA">
        <w:pPr>
          <w:pStyle w:val="Footer"/>
          <w:tabs>
            <w:tab w:val="left" w:pos="1260"/>
            <w:tab w:val="right" w:pos="955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5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04331" w:rsidRDefault="00E04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97" w:rsidRDefault="00943C97" w:rsidP="00400BED">
      <w:pPr>
        <w:spacing w:after="0" w:line="240" w:lineRule="auto"/>
      </w:pPr>
      <w:r>
        <w:separator/>
      </w:r>
    </w:p>
  </w:footnote>
  <w:footnote w:type="continuationSeparator" w:id="0">
    <w:p w:rsidR="00943C97" w:rsidRDefault="00943C97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02FF8"/>
    <w:rsid w:val="00013D97"/>
    <w:rsid w:val="0001411B"/>
    <w:rsid w:val="000156E3"/>
    <w:rsid w:val="000162A1"/>
    <w:rsid w:val="00017DE3"/>
    <w:rsid w:val="00030CF6"/>
    <w:rsid w:val="0003606D"/>
    <w:rsid w:val="00037587"/>
    <w:rsid w:val="00040C4B"/>
    <w:rsid w:val="00041765"/>
    <w:rsid w:val="00044F01"/>
    <w:rsid w:val="000458CE"/>
    <w:rsid w:val="000508A2"/>
    <w:rsid w:val="00055C79"/>
    <w:rsid w:val="00064717"/>
    <w:rsid w:val="00071D1D"/>
    <w:rsid w:val="00071DD7"/>
    <w:rsid w:val="00073EEF"/>
    <w:rsid w:val="00074A14"/>
    <w:rsid w:val="0007519C"/>
    <w:rsid w:val="000771C9"/>
    <w:rsid w:val="000801A6"/>
    <w:rsid w:val="00085683"/>
    <w:rsid w:val="00086A00"/>
    <w:rsid w:val="00091646"/>
    <w:rsid w:val="00095B71"/>
    <w:rsid w:val="00096855"/>
    <w:rsid w:val="000969CB"/>
    <w:rsid w:val="00096CC2"/>
    <w:rsid w:val="000973FB"/>
    <w:rsid w:val="000A29EB"/>
    <w:rsid w:val="000A4467"/>
    <w:rsid w:val="000A7EDA"/>
    <w:rsid w:val="000B16F8"/>
    <w:rsid w:val="000B567A"/>
    <w:rsid w:val="000B6954"/>
    <w:rsid w:val="000B6CAA"/>
    <w:rsid w:val="000C139F"/>
    <w:rsid w:val="000C57D0"/>
    <w:rsid w:val="000D159E"/>
    <w:rsid w:val="000D1A17"/>
    <w:rsid w:val="000D4D25"/>
    <w:rsid w:val="000E0438"/>
    <w:rsid w:val="000E1AF9"/>
    <w:rsid w:val="000E4DAD"/>
    <w:rsid w:val="000E7432"/>
    <w:rsid w:val="000F00E4"/>
    <w:rsid w:val="000F13F4"/>
    <w:rsid w:val="000F55BB"/>
    <w:rsid w:val="000F7FD3"/>
    <w:rsid w:val="001055DA"/>
    <w:rsid w:val="00110A1B"/>
    <w:rsid w:val="00121AE2"/>
    <w:rsid w:val="00124299"/>
    <w:rsid w:val="001261C7"/>
    <w:rsid w:val="00126E5C"/>
    <w:rsid w:val="0013125A"/>
    <w:rsid w:val="0013347B"/>
    <w:rsid w:val="00137ED5"/>
    <w:rsid w:val="00140A2F"/>
    <w:rsid w:val="001441DC"/>
    <w:rsid w:val="00145367"/>
    <w:rsid w:val="00147EAD"/>
    <w:rsid w:val="00154312"/>
    <w:rsid w:val="00157433"/>
    <w:rsid w:val="00162FC7"/>
    <w:rsid w:val="0016733A"/>
    <w:rsid w:val="00173BAA"/>
    <w:rsid w:val="00174F55"/>
    <w:rsid w:val="001763B0"/>
    <w:rsid w:val="00177DA4"/>
    <w:rsid w:val="00182832"/>
    <w:rsid w:val="00187C1C"/>
    <w:rsid w:val="00193364"/>
    <w:rsid w:val="001A2AFB"/>
    <w:rsid w:val="001B4547"/>
    <w:rsid w:val="001B508D"/>
    <w:rsid w:val="001B5DAC"/>
    <w:rsid w:val="001C5235"/>
    <w:rsid w:val="001C5F44"/>
    <w:rsid w:val="001D0A60"/>
    <w:rsid w:val="001D5195"/>
    <w:rsid w:val="001D5ADC"/>
    <w:rsid w:val="001D65B8"/>
    <w:rsid w:val="001D6905"/>
    <w:rsid w:val="001D7AFC"/>
    <w:rsid w:val="001E2DD2"/>
    <w:rsid w:val="001E61BA"/>
    <w:rsid w:val="001E62A2"/>
    <w:rsid w:val="001E6933"/>
    <w:rsid w:val="001F1323"/>
    <w:rsid w:val="00200F18"/>
    <w:rsid w:val="0020475E"/>
    <w:rsid w:val="00206BEB"/>
    <w:rsid w:val="00210947"/>
    <w:rsid w:val="00215653"/>
    <w:rsid w:val="00216E75"/>
    <w:rsid w:val="0022130D"/>
    <w:rsid w:val="002221D9"/>
    <w:rsid w:val="00225341"/>
    <w:rsid w:val="00233B5E"/>
    <w:rsid w:val="0023438F"/>
    <w:rsid w:val="0024105B"/>
    <w:rsid w:val="0024488E"/>
    <w:rsid w:val="00247C11"/>
    <w:rsid w:val="0025039F"/>
    <w:rsid w:val="0025375C"/>
    <w:rsid w:val="00255AE1"/>
    <w:rsid w:val="00263EAD"/>
    <w:rsid w:val="00270120"/>
    <w:rsid w:val="002758CB"/>
    <w:rsid w:val="0028042E"/>
    <w:rsid w:val="0028088E"/>
    <w:rsid w:val="00280FA2"/>
    <w:rsid w:val="0028789D"/>
    <w:rsid w:val="0029394E"/>
    <w:rsid w:val="00294224"/>
    <w:rsid w:val="00296E7A"/>
    <w:rsid w:val="002A29FC"/>
    <w:rsid w:val="002A3C73"/>
    <w:rsid w:val="002A4263"/>
    <w:rsid w:val="002B1FB3"/>
    <w:rsid w:val="002B3E23"/>
    <w:rsid w:val="002B47AA"/>
    <w:rsid w:val="002B6F15"/>
    <w:rsid w:val="002B7EE6"/>
    <w:rsid w:val="002C2F60"/>
    <w:rsid w:val="002C35E1"/>
    <w:rsid w:val="002C41C2"/>
    <w:rsid w:val="002C7782"/>
    <w:rsid w:val="002D16E4"/>
    <w:rsid w:val="002D6813"/>
    <w:rsid w:val="002E3E75"/>
    <w:rsid w:val="002F292C"/>
    <w:rsid w:val="002F4A36"/>
    <w:rsid w:val="002F7144"/>
    <w:rsid w:val="003028B4"/>
    <w:rsid w:val="00304455"/>
    <w:rsid w:val="00307263"/>
    <w:rsid w:val="00310E6E"/>
    <w:rsid w:val="00312E0E"/>
    <w:rsid w:val="00313468"/>
    <w:rsid w:val="003166CD"/>
    <w:rsid w:val="00316EAF"/>
    <w:rsid w:val="00317C22"/>
    <w:rsid w:val="003303AF"/>
    <w:rsid w:val="00332B60"/>
    <w:rsid w:val="003351F0"/>
    <w:rsid w:val="00335477"/>
    <w:rsid w:val="00336384"/>
    <w:rsid w:val="003419E6"/>
    <w:rsid w:val="003425D6"/>
    <w:rsid w:val="00352E0D"/>
    <w:rsid w:val="0035676A"/>
    <w:rsid w:val="00361883"/>
    <w:rsid w:val="00364196"/>
    <w:rsid w:val="00372FD5"/>
    <w:rsid w:val="00375F6E"/>
    <w:rsid w:val="00382167"/>
    <w:rsid w:val="003838EC"/>
    <w:rsid w:val="00395CE1"/>
    <w:rsid w:val="003967C1"/>
    <w:rsid w:val="003A0E81"/>
    <w:rsid w:val="003A4A93"/>
    <w:rsid w:val="003B1490"/>
    <w:rsid w:val="003B22D1"/>
    <w:rsid w:val="003B4834"/>
    <w:rsid w:val="003B5B47"/>
    <w:rsid w:val="003B68A7"/>
    <w:rsid w:val="003C2AE8"/>
    <w:rsid w:val="003C3825"/>
    <w:rsid w:val="003C5914"/>
    <w:rsid w:val="003C60E3"/>
    <w:rsid w:val="003D33E6"/>
    <w:rsid w:val="003D5A3B"/>
    <w:rsid w:val="003D6E27"/>
    <w:rsid w:val="003E2AE8"/>
    <w:rsid w:val="003E2E05"/>
    <w:rsid w:val="003E2FDF"/>
    <w:rsid w:val="003E5A7C"/>
    <w:rsid w:val="003F208F"/>
    <w:rsid w:val="003F27BF"/>
    <w:rsid w:val="003F2860"/>
    <w:rsid w:val="003F3483"/>
    <w:rsid w:val="003F36B5"/>
    <w:rsid w:val="003F581B"/>
    <w:rsid w:val="003F6F77"/>
    <w:rsid w:val="00400BED"/>
    <w:rsid w:val="00405A47"/>
    <w:rsid w:val="0040622C"/>
    <w:rsid w:val="0040699D"/>
    <w:rsid w:val="004117C8"/>
    <w:rsid w:val="00416472"/>
    <w:rsid w:val="00425B8C"/>
    <w:rsid w:val="00425E7D"/>
    <w:rsid w:val="00427DC2"/>
    <w:rsid w:val="004324BD"/>
    <w:rsid w:val="00441218"/>
    <w:rsid w:val="004439FD"/>
    <w:rsid w:val="00457886"/>
    <w:rsid w:val="00466050"/>
    <w:rsid w:val="00466B57"/>
    <w:rsid w:val="00471D7F"/>
    <w:rsid w:val="00480DC3"/>
    <w:rsid w:val="004816BC"/>
    <w:rsid w:val="004835AB"/>
    <w:rsid w:val="00485FD9"/>
    <w:rsid w:val="00490B44"/>
    <w:rsid w:val="00493136"/>
    <w:rsid w:val="00496409"/>
    <w:rsid w:val="004A3196"/>
    <w:rsid w:val="004A3DB0"/>
    <w:rsid w:val="004B0D23"/>
    <w:rsid w:val="004B1263"/>
    <w:rsid w:val="004B1CC7"/>
    <w:rsid w:val="004B29BC"/>
    <w:rsid w:val="004B46E8"/>
    <w:rsid w:val="004C59A6"/>
    <w:rsid w:val="004D17A6"/>
    <w:rsid w:val="004D7B47"/>
    <w:rsid w:val="004E2497"/>
    <w:rsid w:val="004E422E"/>
    <w:rsid w:val="004F5AB2"/>
    <w:rsid w:val="0050185A"/>
    <w:rsid w:val="00501E22"/>
    <w:rsid w:val="005131CE"/>
    <w:rsid w:val="005165EB"/>
    <w:rsid w:val="0053399C"/>
    <w:rsid w:val="00534D33"/>
    <w:rsid w:val="005370EC"/>
    <w:rsid w:val="00537CFA"/>
    <w:rsid w:val="0054275A"/>
    <w:rsid w:val="00543222"/>
    <w:rsid w:val="00544450"/>
    <w:rsid w:val="00544AAC"/>
    <w:rsid w:val="00547406"/>
    <w:rsid w:val="0055314B"/>
    <w:rsid w:val="005532C7"/>
    <w:rsid w:val="0055381D"/>
    <w:rsid w:val="0055654D"/>
    <w:rsid w:val="00557774"/>
    <w:rsid w:val="00563CDA"/>
    <w:rsid w:val="00564957"/>
    <w:rsid w:val="00570728"/>
    <w:rsid w:val="00570A55"/>
    <w:rsid w:val="00570C98"/>
    <w:rsid w:val="00572781"/>
    <w:rsid w:val="0057502A"/>
    <w:rsid w:val="0058301C"/>
    <w:rsid w:val="005830B0"/>
    <w:rsid w:val="0058312E"/>
    <w:rsid w:val="005870D9"/>
    <w:rsid w:val="00594033"/>
    <w:rsid w:val="00596075"/>
    <w:rsid w:val="005A44F5"/>
    <w:rsid w:val="005A5523"/>
    <w:rsid w:val="005B3151"/>
    <w:rsid w:val="005B3C35"/>
    <w:rsid w:val="005B498D"/>
    <w:rsid w:val="005B505D"/>
    <w:rsid w:val="005B5D38"/>
    <w:rsid w:val="005C0056"/>
    <w:rsid w:val="005C212A"/>
    <w:rsid w:val="005D41B7"/>
    <w:rsid w:val="005E1257"/>
    <w:rsid w:val="005E2930"/>
    <w:rsid w:val="005E5E26"/>
    <w:rsid w:val="005E63ED"/>
    <w:rsid w:val="005E7CA8"/>
    <w:rsid w:val="005F36E9"/>
    <w:rsid w:val="005F6B8A"/>
    <w:rsid w:val="006042C4"/>
    <w:rsid w:val="00615CCA"/>
    <w:rsid w:val="006168BD"/>
    <w:rsid w:val="006202AE"/>
    <w:rsid w:val="006204B4"/>
    <w:rsid w:val="00621E8E"/>
    <w:rsid w:val="00623F0F"/>
    <w:rsid w:val="006268F4"/>
    <w:rsid w:val="006361AA"/>
    <w:rsid w:val="00651040"/>
    <w:rsid w:val="0065336E"/>
    <w:rsid w:val="00653DD1"/>
    <w:rsid w:val="006546E7"/>
    <w:rsid w:val="006578EC"/>
    <w:rsid w:val="00667DDB"/>
    <w:rsid w:val="00673822"/>
    <w:rsid w:val="00680B46"/>
    <w:rsid w:val="00681DFF"/>
    <w:rsid w:val="00682DC8"/>
    <w:rsid w:val="006830DB"/>
    <w:rsid w:val="00684B33"/>
    <w:rsid w:val="006859B7"/>
    <w:rsid w:val="0068719D"/>
    <w:rsid w:val="00693321"/>
    <w:rsid w:val="00693542"/>
    <w:rsid w:val="00694AB3"/>
    <w:rsid w:val="006A0EC7"/>
    <w:rsid w:val="006A3476"/>
    <w:rsid w:val="006A47A2"/>
    <w:rsid w:val="006A7D49"/>
    <w:rsid w:val="006B398B"/>
    <w:rsid w:val="006B5421"/>
    <w:rsid w:val="006C2FB0"/>
    <w:rsid w:val="006C6499"/>
    <w:rsid w:val="006C77A4"/>
    <w:rsid w:val="006D3126"/>
    <w:rsid w:val="006D6E25"/>
    <w:rsid w:val="006E02C4"/>
    <w:rsid w:val="006F1443"/>
    <w:rsid w:val="006F1A93"/>
    <w:rsid w:val="006F334D"/>
    <w:rsid w:val="006F34C1"/>
    <w:rsid w:val="006F4202"/>
    <w:rsid w:val="006F4803"/>
    <w:rsid w:val="006F576F"/>
    <w:rsid w:val="006F5BEB"/>
    <w:rsid w:val="006F6D3E"/>
    <w:rsid w:val="007039CE"/>
    <w:rsid w:val="0070519F"/>
    <w:rsid w:val="0070689E"/>
    <w:rsid w:val="007121D3"/>
    <w:rsid w:val="00712989"/>
    <w:rsid w:val="0071317C"/>
    <w:rsid w:val="00713B95"/>
    <w:rsid w:val="00716043"/>
    <w:rsid w:val="00716759"/>
    <w:rsid w:val="00722371"/>
    <w:rsid w:val="0072498D"/>
    <w:rsid w:val="0072749E"/>
    <w:rsid w:val="00734778"/>
    <w:rsid w:val="00737314"/>
    <w:rsid w:val="00737BC2"/>
    <w:rsid w:val="007449DE"/>
    <w:rsid w:val="007464DB"/>
    <w:rsid w:val="00746651"/>
    <w:rsid w:val="007638B2"/>
    <w:rsid w:val="00764192"/>
    <w:rsid w:val="007643C1"/>
    <w:rsid w:val="00771909"/>
    <w:rsid w:val="007720D8"/>
    <w:rsid w:val="00780B7F"/>
    <w:rsid w:val="0078542F"/>
    <w:rsid w:val="00790043"/>
    <w:rsid w:val="0079765C"/>
    <w:rsid w:val="007A22B9"/>
    <w:rsid w:val="007B4163"/>
    <w:rsid w:val="007B4FCC"/>
    <w:rsid w:val="007B50C9"/>
    <w:rsid w:val="007B5F90"/>
    <w:rsid w:val="007B6928"/>
    <w:rsid w:val="007B6D1D"/>
    <w:rsid w:val="007C3960"/>
    <w:rsid w:val="007C6E36"/>
    <w:rsid w:val="007C795B"/>
    <w:rsid w:val="007D1B10"/>
    <w:rsid w:val="007D22F1"/>
    <w:rsid w:val="007D2DE1"/>
    <w:rsid w:val="007D4E77"/>
    <w:rsid w:val="007D7881"/>
    <w:rsid w:val="007E711B"/>
    <w:rsid w:val="007F2E76"/>
    <w:rsid w:val="007F2F53"/>
    <w:rsid w:val="007F3733"/>
    <w:rsid w:val="007F71FD"/>
    <w:rsid w:val="00812C36"/>
    <w:rsid w:val="00817C42"/>
    <w:rsid w:val="0082056D"/>
    <w:rsid w:val="00826C90"/>
    <w:rsid w:val="0083184C"/>
    <w:rsid w:val="008330FC"/>
    <w:rsid w:val="00836A37"/>
    <w:rsid w:val="008416A6"/>
    <w:rsid w:val="00844751"/>
    <w:rsid w:val="0085157F"/>
    <w:rsid w:val="008546EC"/>
    <w:rsid w:val="008564DE"/>
    <w:rsid w:val="00862004"/>
    <w:rsid w:val="00864429"/>
    <w:rsid w:val="0086615D"/>
    <w:rsid w:val="00866340"/>
    <w:rsid w:val="00866C5D"/>
    <w:rsid w:val="00881898"/>
    <w:rsid w:val="00885C87"/>
    <w:rsid w:val="00886733"/>
    <w:rsid w:val="00890F23"/>
    <w:rsid w:val="008931CF"/>
    <w:rsid w:val="00895BDF"/>
    <w:rsid w:val="0089646B"/>
    <w:rsid w:val="008A1C29"/>
    <w:rsid w:val="008A296A"/>
    <w:rsid w:val="008A7DED"/>
    <w:rsid w:val="008B2C36"/>
    <w:rsid w:val="008B4FC9"/>
    <w:rsid w:val="008C0A08"/>
    <w:rsid w:val="008C2A4C"/>
    <w:rsid w:val="008C387D"/>
    <w:rsid w:val="008C3F27"/>
    <w:rsid w:val="008C692E"/>
    <w:rsid w:val="008C7E2B"/>
    <w:rsid w:val="008D0387"/>
    <w:rsid w:val="008D3068"/>
    <w:rsid w:val="008D7651"/>
    <w:rsid w:val="008D7B2F"/>
    <w:rsid w:val="008E40B9"/>
    <w:rsid w:val="008E772B"/>
    <w:rsid w:val="008F0B91"/>
    <w:rsid w:val="00903ED6"/>
    <w:rsid w:val="00905BCC"/>
    <w:rsid w:val="00907532"/>
    <w:rsid w:val="00923C6D"/>
    <w:rsid w:val="00927EE7"/>
    <w:rsid w:val="009330E5"/>
    <w:rsid w:val="009335FA"/>
    <w:rsid w:val="00935F0A"/>
    <w:rsid w:val="009408F0"/>
    <w:rsid w:val="00941504"/>
    <w:rsid w:val="00943C97"/>
    <w:rsid w:val="009453D8"/>
    <w:rsid w:val="00950BDF"/>
    <w:rsid w:val="00952EBF"/>
    <w:rsid w:val="0096271C"/>
    <w:rsid w:val="0096590B"/>
    <w:rsid w:val="009660A9"/>
    <w:rsid w:val="009734FB"/>
    <w:rsid w:val="00982850"/>
    <w:rsid w:val="00982E29"/>
    <w:rsid w:val="00986AAF"/>
    <w:rsid w:val="0099134B"/>
    <w:rsid w:val="009917B8"/>
    <w:rsid w:val="00991B14"/>
    <w:rsid w:val="00997661"/>
    <w:rsid w:val="009A1016"/>
    <w:rsid w:val="009A2872"/>
    <w:rsid w:val="009A7187"/>
    <w:rsid w:val="009A78B3"/>
    <w:rsid w:val="009A7CFF"/>
    <w:rsid w:val="009B1B48"/>
    <w:rsid w:val="009B6F6F"/>
    <w:rsid w:val="009C1DED"/>
    <w:rsid w:val="009C3A0F"/>
    <w:rsid w:val="009C6F6B"/>
    <w:rsid w:val="009D1D40"/>
    <w:rsid w:val="009D383C"/>
    <w:rsid w:val="009D5407"/>
    <w:rsid w:val="009D66CB"/>
    <w:rsid w:val="009D72B5"/>
    <w:rsid w:val="009E49DA"/>
    <w:rsid w:val="009E5F2B"/>
    <w:rsid w:val="009F1D79"/>
    <w:rsid w:val="009F6AC0"/>
    <w:rsid w:val="009F7E90"/>
    <w:rsid w:val="00A038BB"/>
    <w:rsid w:val="00A04E5E"/>
    <w:rsid w:val="00A1081B"/>
    <w:rsid w:val="00A13C99"/>
    <w:rsid w:val="00A145F4"/>
    <w:rsid w:val="00A2021C"/>
    <w:rsid w:val="00A2126C"/>
    <w:rsid w:val="00A22485"/>
    <w:rsid w:val="00A26B28"/>
    <w:rsid w:val="00A30759"/>
    <w:rsid w:val="00A4206C"/>
    <w:rsid w:val="00A45EB8"/>
    <w:rsid w:val="00A5293F"/>
    <w:rsid w:val="00A6278E"/>
    <w:rsid w:val="00A63967"/>
    <w:rsid w:val="00A67F51"/>
    <w:rsid w:val="00A74699"/>
    <w:rsid w:val="00A761DC"/>
    <w:rsid w:val="00A87F14"/>
    <w:rsid w:val="00A90B92"/>
    <w:rsid w:val="00A90C44"/>
    <w:rsid w:val="00AA1660"/>
    <w:rsid w:val="00AB0A72"/>
    <w:rsid w:val="00AB4534"/>
    <w:rsid w:val="00AB5A99"/>
    <w:rsid w:val="00AB7802"/>
    <w:rsid w:val="00AC1154"/>
    <w:rsid w:val="00AC2209"/>
    <w:rsid w:val="00AD2D43"/>
    <w:rsid w:val="00AD5E57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118E0"/>
    <w:rsid w:val="00B12E23"/>
    <w:rsid w:val="00B13F75"/>
    <w:rsid w:val="00B14B51"/>
    <w:rsid w:val="00B157CD"/>
    <w:rsid w:val="00B15E0F"/>
    <w:rsid w:val="00B20166"/>
    <w:rsid w:val="00B224DB"/>
    <w:rsid w:val="00B2284C"/>
    <w:rsid w:val="00B236F8"/>
    <w:rsid w:val="00B248CA"/>
    <w:rsid w:val="00B30876"/>
    <w:rsid w:val="00B32432"/>
    <w:rsid w:val="00B44750"/>
    <w:rsid w:val="00B44900"/>
    <w:rsid w:val="00B460EB"/>
    <w:rsid w:val="00B469CE"/>
    <w:rsid w:val="00B502E6"/>
    <w:rsid w:val="00B5085B"/>
    <w:rsid w:val="00B55FD3"/>
    <w:rsid w:val="00B61F3B"/>
    <w:rsid w:val="00B64DB8"/>
    <w:rsid w:val="00B662F1"/>
    <w:rsid w:val="00B6654D"/>
    <w:rsid w:val="00B67339"/>
    <w:rsid w:val="00B7224C"/>
    <w:rsid w:val="00B72782"/>
    <w:rsid w:val="00B741CD"/>
    <w:rsid w:val="00B7509F"/>
    <w:rsid w:val="00B76574"/>
    <w:rsid w:val="00B84C15"/>
    <w:rsid w:val="00B95192"/>
    <w:rsid w:val="00B95528"/>
    <w:rsid w:val="00BA297C"/>
    <w:rsid w:val="00BA6094"/>
    <w:rsid w:val="00BB4019"/>
    <w:rsid w:val="00BC132A"/>
    <w:rsid w:val="00BC168E"/>
    <w:rsid w:val="00BC505C"/>
    <w:rsid w:val="00BC764D"/>
    <w:rsid w:val="00BC79A6"/>
    <w:rsid w:val="00BD1D05"/>
    <w:rsid w:val="00BD3C50"/>
    <w:rsid w:val="00BE4984"/>
    <w:rsid w:val="00BE4EE0"/>
    <w:rsid w:val="00BE777E"/>
    <w:rsid w:val="00BF0EBD"/>
    <w:rsid w:val="00BF151B"/>
    <w:rsid w:val="00BF1937"/>
    <w:rsid w:val="00BF50A9"/>
    <w:rsid w:val="00C0434C"/>
    <w:rsid w:val="00C04FBA"/>
    <w:rsid w:val="00C13117"/>
    <w:rsid w:val="00C136E3"/>
    <w:rsid w:val="00C17F88"/>
    <w:rsid w:val="00C20E2F"/>
    <w:rsid w:val="00C31F7F"/>
    <w:rsid w:val="00C36A3D"/>
    <w:rsid w:val="00C42DBB"/>
    <w:rsid w:val="00C44420"/>
    <w:rsid w:val="00C4579F"/>
    <w:rsid w:val="00C60875"/>
    <w:rsid w:val="00C60AD9"/>
    <w:rsid w:val="00C644C6"/>
    <w:rsid w:val="00C6765C"/>
    <w:rsid w:val="00C676F1"/>
    <w:rsid w:val="00C73B44"/>
    <w:rsid w:val="00C757E0"/>
    <w:rsid w:val="00C75813"/>
    <w:rsid w:val="00C75C56"/>
    <w:rsid w:val="00C765DD"/>
    <w:rsid w:val="00C80BCF"/>
    <w:rsid w:val="00C91918"/>
    <w:rsid w:val="00C9602D"/>
    <w:rsid w:val="00CA4A72"/>
    <w:rsid w:val="00CA65F9"/>
    <w:rsid w:val="00CA70A1"/>
    <w:rsid w:val="00CB3F5C"/>
    <w:rsid w:val="00CB57F7"/>
    <w:rsid w:val="00CB62A2"/>
    <w:rsid w:val="00CB6749"/>
    <w:rsid w:val="00CC1535"/>
    <w:rsid w:val="00CC46C4"/>
    <w:rsid w:val="00CC61C6"/>
    <w:rsid w:val="00CC6C0E"/>
    <w:rsid w:val="00CD1557"/>
    <w:rsid w:val="00CD2440"/>
    <w:rsid w:val="00CD6C9D"/>
    <w:rsid w:val="00CD7862"/>
    <w:rsid w:val="00CD7C57"/>
    <w:rsid w:val="00CE5649"/>
    <w:rsid w:val="00CE5DF2"/>
    <w:rsid w:val="00CF3A41"/>
    <w:rsid w:val="00D01070"/>
    <w:rsid w:val="00D0479D"/>
    <w:rsid w:val="00D04E46"/>
    <w:rsid w:val="00D05684"/>
    <w:rsid w:val="00D059C8"/>
    <w:rsid w:val="00D10101"/>
    <w:rsid w:val="00D1142C"/>
    <w:rsid w:val="00D12397"/>
    <w:rsid w:val="00D207EF"/>
    <w:rsid w:val="00D21BD3"/>
    <w:rsid w:val="00D22125"/>
    <w:rsid w:val="00D261E7"/>
    <w:rsid w:val="00D26939"/>
    <w:rsid w:val="00D31A08"/>
    <w:rsid w:val="00D32336"/>
    <w:rsid w:val="00D3238E"/>
    <w:rsid w:val="00D34895"/>
    <w:rsid w:val="00D47CCE"/>
    <w:rsid w:val="00D539F2"/>
    <w:rsid w:val="00D53A3C"/>
    <w:rsid w:val="00D55D57"/>
    <w:rsid w:val="00D568BA"/>
    <w:rsid w:val="00D62208"/>
    <w:rsid w:val="00D628D5"/>
    <w:rsid w:val="00D66DD7"/>
    <w:rsid w:val="00D677AE"/>
    <w:rsid w:val="00D713F6"/>
    <w:rsid w:val="00D729AB"/>
    <w:rsid w:val="00D73825"/>
    <w:rsid w:val="00D77528"/>
    <w:rsid w:val="00D80890"/>
    <w:rsid w:val="00D824F1"/>
    <w:rsid w:val="00D82D13"/>
    <w:rsid w:val="00D83C3E"/>
    <w:rsid w:val="00D84173"/>
    <w:rsid w:val="00D90239"/>
    <w:rsid w:val="00D918E1"/>
    <w:rsid w:val="00D920AD"/>
    <w:rsid w:val="00D94C3D"/>
    <w:rsid w:val="00DA27F4"/>
    <w:rsid w:val="00DA395D"/>
    <w:rsid w:val="00DA521E"/>
    <w:rsid w:val="00DB2B66"/>
    <w:rsid w:val="00DB30DF"/>
    <w:rsid w:val="00DB47C0"/>
    <w:rsid w:val="00DC24F5"/>
    <w:rsid w:val="00DC3604"/>
    <w:rsid w:val="00DE18E6"/>
    <w:rsid w:val="00DE4001"/>
    <w:rsid w:val="00DE5A88"/>
    <w:rsid w:val="00DE5E51"/>
    <w:rsid w:val="00DE64A1"/>
    <w:rsid w:val="00DF0EE9"/>
    <w:rsid w:val="00DF4B86"/>
    <w:rsid w:val="00DF5D2F"/>
    <w:rsid w:val="00E014B2"/>
    <w:rsid w:val="00E01BC8"/>
    <w:rsid w:val="00E02C4C"/>
    <w:rsid w:val="00E02DBC"/>
    <w:rsid w:val="00E04331"/>
    <w:rsid w:val="00E06538"/>
    <w:rsid w:val="00E07907"/>
    <w:rsid w:val="00E079D4"/>
    <w:rsid w:val="00E11336"/>
    <w:rsid w:val="00E224DE"/>
    <w:rsid w:val="00E26573"/>
    <w:rsid w:val="00E30881"/>
    <w:rsid w:val="00E31BC0"/>
    <w:rsid w:val="00E33726"/>
    <w:rsid w:val="00E35BB0"/>
    <w:rsid w:val="00E3693C"/>
    <w:rsid w:val="00E36B7F"/>
    <w:rsid w:val="00E407B5"/>
    <w:rsid w:val="00E41BE1"/>
    <w:rsid w:val="00E44522"/>
    <w:rsid w:val="00E532A9"/>
    <w:rsid w:val="00E53972"/>
    <w:rsid w:val="00E569AC"/>
    <w:rsid w:val="00E56CB9"/>
    <w:rsid w:val="00E60694"/>
    <w:rsid w:val="00E658F5"/>
    <w:rsid w:val="00E736E9"/>
    <w:rsid w:val="00E77771"/>
    <w:rsid w:val="00E81BCB"/>
    <w:rsid w:val="00E842C2"/>
    <w:rsid w:val="00EA2D25"/>
    <w:rsid w:val="00EA388F"/>
    <w:rsid w:val="00EA65D7"/>
    <w:rsid w:val="00EB0470"/>
    <w:rsid w:val="00EB2E2F"/>
    <w:rsid w:val="00EB4097"/>
    <w:rsid w:val="00EC0C5D"/>
    <w:rsid w:val="00EC2EC2"/>
    <w:rsid w:val="00ED0545"/>
    <w:rsid w:val="00ED0857"/>
    <w:rsid w:val="00ED3F2C"/>
    <w:rsid w:val="00ED5F30"/>
    <w:rsid w:val="00ED69D4"/>
    <w:rsid w:val="00EE4160"/>
    <w:rsid w:val="00EE7F4F"/>
    <w:rsid w:val="00EF46D7"/>
    <w:rsid w:val="00F01A27"/>
    <w:rsid w:val="00F0348A"/>
    <w:rsid w:val="00F07891"/>
    <w:rsid w:val="00F106FA"/>
    <w:rsid w:val="00F114A0"/>
    <w:rsid w:val="00F163EB"/>
    <w:rsid w:val="00F20302"/>
    <w:rsid w:val="00F213DA"/>
    <w:rsid w:val="00F252D0"/>
    <w:rsid w:val="00F312ED"/>
    <w:rsid w:val="00F314F5"/>
    <w:rsid w:val="00F331FF"/>
    <w:rsid w:val="00F34EAC"/>
    <w:rsid w:val="00F35BA9"/>
    <w:rsid w:val="00F37717"/>
    <w:rsid w:val="00F44547"/>
    <w:rsid w:val="00F446F1"/>
    <w:rsid w:val="00F51EBA"/>
    <w:rsid w:val="00F57C06"/>
    <w:rsid w:val="00F624D9"/>
    <w:rsid w:val="00F6697A"/>
    <w:rsid w:val="00F66BF1"/>
    <w:rsid w:val="00F74E70"/>
    <w:rsid w:val="00F76C9B"/>
    <w:rsid w:val="00F819E7"/>
    <w:rsid w:val="00F83F23"/>
    <w:rsid w:val="00F87116"/>
    <w:rsid w:val="00F93AD8"/>
    <w:rsid w:val="00FA6ABC"/>
    <w:rsid w:val="00FA74FF"/>
    <w:rsid w:val="00FC40F7"/>
    <w:rsid w:val="00FD1BE5"/>
    <w:rsid w:val="00FD412B"/>
    <w:rsid w:val="00FD6622"/>
    <w:rsid w:val="00FE24A2"/>
    <w:rsid w:val="00FE2A1F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C46FF"/>
  <w15:docId w15:val="{C89A70DD-76BB-4CD3-99C4-59BAF901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2E0E"/>
    <w:rPr>
      <w:color w:val="800080"/>
      <w:u w:val="single"/>
    </w:rPr>
  </w:style>
  <w:style w:type="paragraph" w:customStyle="1" w:styleId="font5">
    <w:name w:val="font5"/>
    <w:basedOn w:val="Normal"/>
    <w:rsid w:val="00312E0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xl35632">
    <w:name w:val="xl35632"/>
    <w:basedOn w:val="Normal"/>
    <w:rsid w:val="00312E0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3">
    <w:name w:val="xl35633"/>
    <w:basedOn w:val="Normal"/>
    <w:rsid w:val="00312E0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4">
    <w:name w:val="xl35634"/>
    <w:basedOn w:val="Normal"/>
    <w:rsid w:val="00312E0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5">
    <w:name w:val="xl35635"/>
    <w:basedOn w:val="Normal"/>
    <w:rsid w:val="00312E0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312E0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7">
    <w:name w:val="xl35637"/>
    <w:basedOn w:val="Normal"/>
    <w:rsid w:val="00312E0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312E0E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39">
    <w:name w:val="xl35639"/>
    <w:basedOn w:val="Normal"/>
    <w:rsid w:val="00312E0E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0">
    <w:name w:val="xl35640"/>
    <w:basedOn w:val="Normal"/>
    <w:rsid w:val="00312E0E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1">
    <w:name w:val="xl35641"/>
    <w:basedOn w:val="Normal"/>
    <w:rsid w:val="00312E0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2">
    <w:name w:val="xl35642"/>
    <w:basedOn w:val="Normal"/>
    <w:rsid w:val="00312E0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3">
    <w:name w:val="xl35643"/>
    <w:basedOn w:val="Normal"/>
    <w:rsid w:val="00312E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312E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5">
    <w:name w:val="xl35645"/>
    <w:basedOn w:val="Normal"/>
    <w:rsid w:val="00312E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6">
    <w:name w:val="xl35646"/>
    <w:basedOn w:val="Normal"/>
    <w:rsid w:val="00312E0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312E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312E0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312E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312E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312E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312E0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312E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312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312E0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312E0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312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312E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312E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312E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312E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312E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312E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312E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312E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312E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312E0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2">
    <w:name w:val="xl35672"/>
    <w:basedOn w:val="Normal"/>
    <w:rsid w:val="00312E0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312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312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312E0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312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312E0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312E0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312E0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312E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5">
    <w:name w:val="xl35685"/>
    <w:basedOn w:val="Normal"/>
    <w:rsid w:val="00312E0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312E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312E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88">
    <w:name w:val="xl35688"/>
    <w:basedOn w:val="Normal"/>
    <w:rsid w:val="00312E0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9">
    <w:name w:val="xl35689"/>
    <w:basedOn w:val="Normal"/>
    <w:rsid w:val="00312E0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0">
    <w:name w:val="xl35690"/>
    <w:basedOn w:val="Normal"/>
    <w:rsid w:val="00312E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312E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312E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312E0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312E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312E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312E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99">
    <w:name w:val="xl35699"/>
    <w:basedOn w:val="Normal"/>
    <w:rsid w:val="00312E0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312E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312E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2">
    <w:name w:val="xl35702"/>
    <w:basedOn w:val="Normal"/>
    <w:rsid w:val="00312E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3">
    <w:name w:val="xl35703"/>
    <w:basedOn w:val="Normal"/>
    <w:rsid w:val="00312E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312E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312E0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312E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708">
    <w:name w:val="xl35708"/>
    <w:basedOn w:val="Normal"/>
    <w:rsid w:val="00312E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09">
    <w:name w:val="xl35709"/>
    <w:basedOn w:val="Normal"/>
    <w:rsid w:val="00312E0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0">
    <w:name w:val="xl35710"/>
    <w:basedOn w:val="Normal"/>
    <w:rsid w:val="00312E0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312E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312E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3">
    <w:name w:val="xl35713"/>
    <w:basedOn w:val="Normal"/>
    <w:rsid w:val="00312E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4">
    <w:name w:val="xl35714"/>
    <w:basedOn w:val="Normal"/>
    <w:rsid w:val="00312E0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15">
    <w:name w:val="xl35715"/>
    <w:basedOn w:val="Normal"/>
    <w:rsid w:val="00312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312E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7">
    <w:name w:val="xl35717"/>
    <w:basedOn w:val="Normal"/>
    <w:rsid w:val="00312E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8">
    <w:name w:val="xl35718"/>
    <w:basedOn w:val="Normal"/>
    <w:rsid w:val="00312E0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312E0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312E0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312E0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2">
    <w:name w:val="xl35722"/>
    <w:basedOn w:val="Normal"/>
    <w:rsid w:val="00312E0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3">
    <w:name w:val="xl35723"/>
    <w:basedOn w:val="Normal"/>
    <w:rsid w:val="00312E0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4">
    <w:name w:val="xl35724"/>
    <w:basedOn w:val="Normal"/>
    <w:rsid w:val="00312E0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25">
    <w:name w:val="xl35725"/>
    <w:basedOn w:val="Normal"/>
    <w:rsid w:val="00312E0E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26">
    <w:name w:val="xl35726"/>
    <w:basedOn w:val="Normal"/>
    <w:rsid w:val="00312E0E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27">
    <w:name w:val="xl35727"/>
    <w:basedOn w:val="Normal"/>
    <w:rsid w:val="00312E0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28">
    <w:name w:val="xl35728"/>
    <w:basedOn w:val="Normal"/>
    <w:rsid w:val="00312E0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312E0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312E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312E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312E0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35733">
    <w:name w:val="xl35733"/>
    <w:basedOn w:val="Normal"/>
    <w:rsid w:val="00312E0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312E0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312E0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312E0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312E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312E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312E0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312E0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312E0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312E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312E0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312E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745">
    <w:name w:val="xl35745"/>
    <w:basedOn w:val="Normal"/>
    <w:rsid w:val="00312E0E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746">
    <w:name w:val="xl35746"/>
    <w:basedOn w:val="Normal"/>
    <w:rsid w:val="00312E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747">
    <w:name w:val="xl35747"/>
    <w:basedOn w:val="Normal"/>
    <w:rsid w:val="00312E0E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45788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6%20AUG_GEO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Manana\AVERAGE%20Terms\Average%20Weighted%20Interest%20Rate_2018%20June_GEO-Eng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7%20DEC_GEO-E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916350899823592E-2"/>
          <c:y val="7.3462577614608934E-2"/>
          <c:w val="0.97408368841675341"/>
          <c:h val="0.8946144350721007"/>
        </c:manualLayout>
      </c:layout>
      <c:ofPieChart>
        <c:ofPieType val="bar"/>
        <c:varyColors val="1"/>
        <c:ser>
          <c:idx val="0"/>
          <c:order val="0"/>
          <c:tx>
            <c:strRef>
              <c:f>'AUG_2016_G '!$O$6</c:f>
              <c:strCache>
                <c:ptCount val="1"/>
                <c:pt idx="0">
                  <c:v> საშინაო 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AA83-4195-B645-DA3D9E6DB9A5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</c:spPr>
            <c:extLst>
              <c:ext xmlns:c16="http://schemas.microsoft.com/office/drawing/2014/chart" uri="{C3380CC4-5D6E-409C-BE32-E72D297353CC}">
                <c16:uniqueId val="{00000003-AA83-4195-B645-DA3D9E6DB9A5}"/>
              </c:ext>
            </c:extLst>
          </c:dPt>
          <c:dPt>
            <c:idx val="2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AA83-4195-B645-DA3D9E6DB9A5}"/>
              </c:ext>
            </c:extLst>
          </c:dPt>
          <c:dPt>
            <c:idx val="3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AA83-4195-B645-DA3D9E6DB9A5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9-AA83-4195-B645-DA3D9E6DB9A5}"/>
              </c:ext>
            </c:extLst>
          </c:dPt>
          <c:dPt>
            <c:idx val="5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AA83-4195-B645-DA3D9E6DB9A5}"/>
              </c:ext>
            </c:extLst>
          </c:dPt>
          <c:dLbls>
            <c:dLbl>
              <c:idx val="0"/>
              <c:layout>
                <c:manualLayout>
                  <c:x val="0.15221841062192282"/>
                  <c:y val="-3.8756488772237348E-3"/>
                </c:manualLayout>
              </c:layout>
              <c:tx>
                <c:rich>
                  <a:bodyPr/>
                  <a:lstStyle/>
                  <a:p>
                    <a:r>
                      <a:rPr lang="ka-GE">
                        <a:solidFill>
                          <a:sysClr val="windowText" lastClr="000000"/>
                        </a:solidFill>
                      </a:rPr>
                      <a:t> საშინაო 
21%</a:t>
                    </a:r>
                    <a:endParaRPr lang="ka-GE">
                      <a:solidFill>
                        <a:schemeClr val="bg1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83-4195-B645-DA3D9E6DB9A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10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1000">
                        <a:solidFill>
                          <a:sysClr val="windowText" lastClr="000000"/>
                        </a:solidFill>
                      </a:rPr>
                      <a:t>მრავალმხრივი
57%</a:t>
                    </a:r>
                    <a:endParaRPr lang="ka-GE" sz="1000"/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073912388980886"/>
                      <c:h val="0.2461928258967629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A83-4195-B645-DA3D9E6DB9A5}"/>
                </c:ext>
              </c:extLst>
            </c:dLbl>
            <c:dLbl>
              <c:idx val="2"/>
              <c:layout>
                <c:manualLayout>
                  <c:x val="-0.13167528189640151"/>
                  <c:y val="2.9629629629629628E-3"/>
                </c:manualLayout>
              </c:layout>
              <c:tx>
                <c:rich>
                  <a:bodyPr/>
                  <a:lstStyle/>
                  <a:p>
                    <a:pPr>
                      <a:defRPr sz="10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1000"/>
                      <a:t>ორმხრივი
13%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433990666867376"/>
                      <c:h val="0.1827261592300962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AA83-4195-B645-DA3D9E6DB9A5}"/>
                </c:ext>
              </c:extLst>
            </c:dLbl>
            <c:dLbl>
              <c:idx val="3"/>
              <c:layout>
                <c:manualLayout>
                  <c:x val="-0.1011576506027442"/>
                  <c:y val="-1.1851851851851851E-2"/>
                </c:manualLayout>
              </c:layout>
              <c:tx>
                <c:rich>
                  <a:bodyPr/>
                  <a:lstStyle/>
                  <a:p>
                    <a:pPr>
                      <a:defRPr sz="1000" b="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1000" b="0">
                        <a:solidFill>
                          <a:sysClr val="windowText" lastClr="000000"/>
                        </a:solidFill>
                      </a:rPr>
                      <a:t>ევრობონდი</a:t>
                    </a:r>
                    <a:r>
                      <a:rPr lang="ka-GE" sz="1000" b="0" baseline="0">
                        <a:solidFill>
                          <a:sysClr val="windowText" lastClr="000000"/>
                        </a:solidFill>
                      </a:rPr>
                      <a:t> </a:t>
                    </a:r>
                    <a:r>
                      <a:rPr lang="ka-GE" sz="1000" b="0">
                        <a:solidFill>
                          <a:sysClr val="windowText" lastClr="000000"/>
                        </a:solidFill>
                      </a:rPr>
                      <a:t>8%</a:t>
                    </a:r>
                    <a:endParaRPr lang="ka-GE" sz="1000" b="0"/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490452918885666"/>
                      <c:h val="0.15309652960046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AA83-4195-B645-DA3D9E6DB9A5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83-4195-B645-DA3D9E6DB9A5}"/>
                </c:ext>
              </c:extLst>
            </c:dLbl>
            <c:dLbl>
              <c:idx val="5"/>
              <c:layout>
                <c:manualLayout>
                  <c:x val="-0.20375612780184579"/>
                  <c:y val="1.5154044062815437E-2"/>
                </c:manualLayout>
              </c:layout>
              <c:tx>
                <c:rich>
                  <a:bodyPr/>
                  <a:lstStyle/>
                  <a:p>
                    <a:pPr>
                      <a:defRPr sz="10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dirty="0">
                        <a:solidFill>
                          <a:sysClr val="windowText" lastClr="000000"/>
                        </a:solidFill>
                      </a:rPr>
                      <a:t>საგარეო
79%</a:t>
                    </a:r>
                    <a:endParaRPr lang="ka-GE" dirty="0">
                      <a:solidFill>
                        <a:schemeClr val="bg1"/>
                      </a:solidFill>
                    </a:endParaRP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A83-4195-B645-DA3D9E6DB9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'AUG_2016_G '!$O$6:$O$10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'AUG_2016_G '!$P$6:$P$10</c:f>
              <c:numCache>
                <c:formatCode>_(* #,##0_);_(* \(#,##0\);_(* "-"??_);_(@_)</c:formatCode>
                <c:ptCount val="5"/>
                <c:pt idx="0">
                  <c:v>3017790.89</c:v>
                </c:pt>
                <c:pt idx="1">
                  <c:v>7333619.5836991994</c:v>
                </c:pt>
                <c:pt idx="2">
                  <c:v>1757393.5431183998</c:v>
                </c:pt>
                <c:pt idx="3">
                  <c:v>1152800</c:v>
                </c:pt>
                <c:pt idx="4">
                  <c:v>4926.4815776000005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A83-4195-B645-DA3D9E6DB9A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57"/>
        <c:splitType val="pos"/>
        <c:splitPos val="4"/>
        <c:secondPieSize val="100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5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257533861778982"/>
          <c:y val="0.25790341207349082"/>
          <c:w val="0.70685416831257286"/>
          <c:h val="0.69605459317585305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1-974B-4E5B-9F7D-B542F6E09647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974B-4E5B-9F7D-B542F6E09647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974B-4E5B-9F7D-B542F6E09647}"/>
              </c:ext>
            </c:extLst>
          </c:dPt>
          <c:dLbls>
            <c:dLbl>
              <c:idx val="0"/>
              <c:layout>
                <c:manualLayout>
                  <c:x val="-0.17377581694188632"/>
                  <c:y val="-5.5338764599302918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</a:defRPr>
                    </a:pPr>
                    <a:fld id="{955CB177-BA8E-4C6C-A9DF-9DD3A87BA7C6}" type="CATEGORYNAME">
                      <a:rPr lang="en-US"/>
                      <a:pPr>
                        <a:defRPr sz="9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23%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74B-4E5B-9F7D-B542F6E09647}"/>
                </c:ext>
              </c:extLst>
            </c:dLbl>
            <c:dLbl>
              <c:idx val="1"/>
              <c:layout>
                <c:manualLayout>
                  <c:x val="0.13962903466498125"/>
                  <c:y val="-0.3051331731584393"/>
                </c:manualLayout>
              </c:layout>
              <c:tx>
                <c:rich>
                  <a:bodyPr/>
                  <a:lstStyle/>
                  <a:p>
                    <a:fld id="{9B5BF100-2B27-4466-BB85-C06A77BF795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39%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74B-4E5B-9F7D-B542F6E09647}"/>
                </c:ext>
              </c:extLst>
            </c:dLbl>
            <c:dLbl>
              <c:idx val="2"/>
              <c:layout>
                <c:manualLayout>
                  <c:x val="0.14179021936639191"/>
                  <c:y val="0.1542770843689845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74B-4E5B-9F7D-B542F6E09647}"/>
                </c:ext>
              </c:extLst>
            </c:dLbl>
            <c:dLbl>
              <c:idx val="3"/>
              <c:layout>
                <c:manualLayout>
                  <c:x val="-3.9610600514400586E-3"/>
                  <c:y val="-9.2556430446194219E-3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9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74B-4E5B-9F7D-B542F6E09647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Jun!$K$37:$K$40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Jun!$M$37:$M$40</c:f>
              <c:numCache>
                <c:formatCode>0%</c:formatCode>
                <c:ptCount val="4"/>
                <c:pt idx="0">
                  <c:v>0.22068594522484139</c:v>
                </c:pt>
                <c:pt idx="1">
                  <c:v>0.39872968772600609</c:v>
                </c:pt>
                <c:pt idx="2">
                  <c:v>0.33676257184916791</c:v>
                </c:pt>
                <c:pt idx="3">
                  <c:v>4.3821795199984533E-2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74B-4E5B-9F7D-B542F6E09647}"/>
            </c:ext>
          </c:extLst>
        </c:ser>
        <c:ser>
          <c:idx val="1"/>
          <c:order val="1"/>
          <c:explosion val="25"/>
          <c:cat>
            <c:strRef>
              <c:f>Jun!$K$37:$K$40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Jun!$M$39:$M$42</c:f>
              <c:numCache>
                <c:formatCode>0%</c:formatCode>
                <c:ptCount val="4"/>
                <c:pt idx="0">
                  <c:v>0.33676257184916791</c:v>
                </c:pt>
                <c:pt idx="1">
                  <c:v>4.3821795199984533E-2</c:v>
                </c:pt>
                <c:pt idx="2" formatCode="0.0%">
                  <c:v>0.99999999999999989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74B-4E5B-9F7D-B542F6E096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000" b="0"/>
            </a:pPr>
            <a:r>
              <a:rPr lang="ka-GE" sz="1000" b="1" i="0" u="none" strike="noStrike" baseline="0"/>
              <a:t>საპროცენტო განაკვეთის ტიპი</a:t>
            </a:r>
            <a:endParaRPr lang="en-US" sz="1000" b="1"/>
          </a:p>
        </c:rich>
      </c:tx>
      <c:layout>
        <c:manualLayout>
          <c:xMode val="edge"/>
          <c:yMode val="edge"/>
          <c:x val="0.20171870408090881"/>
          <c:y val="0"/>
        </c:manualLayout>
      </c:layout>
      <c:overlay val="0"/>
    </c:title>
    <c:autoTitleDeleted val="0"/>
    <c:view3D>
      <c:rotX val="4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77261626080522"/>
          <c:y val="0.16151019584090451"/>
          <c:w val="0.82278336829517917"/>
          <c:h val="0.80630584334852873"/>
        </c:manualLayout>
      </c:layout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FE1-4CFA-8772-BF2BF32578C3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1FE1-4CFA-8772-BF2BF32578C3}"/>
              </c:ext>
            </c:extLst>
          </c:dPt>
          <c:dLbls>
            <c:dLbl>
              <c:idx val="0"/>
              <c:layout>
                <c:manualLayout>
                  <c:x val="-6.5135033796451122E-2"/>
                  <c:y val="-0.14566752473248534"/>
                </c:manualLayout>
              </c:layout>
              <c:tx>
                <c:rich>
                  <a:bodyPr/>
                  <a:lstStyle/>
                  <a:p>
                    <a:fld id="{82737498-9DFB-4C5B-97DF-27FC058FB40E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62%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6592020592020591"/>
                      <c:h val="0.2471153846153846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FE1-4CFA-8772-BF2BF32578C3}"/>
                </c:ext>
              </c:extLst>
            </c:dLbl>
            <c:dLbl>
              <c:idx val="1"/>
              <c:layout>
                <c:manualLayout>
                  <c:x val="0.27284427284427282"/>
                  <c:y val="7.7197657985059565E-2"/>
                </c:manualLayout>
              </c:layout>
              <c:tx>
                <c:rich>
                  <a:bodyPr/>
                  <a:lstStyle/>
                  <a:p>
                    <a:fld id="{EB7B180F-5D43-4F27-AC05-C88EB4EA4DB3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38%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680823680823682"/>
                      <c:h val="0.2451923076923076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FE1-4CFA-8772-BF2BF32578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DEC!$L$20:$L$21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DEC!$M$20:$M$21</c:f>
              <c:numCache>
                <c:formatCode>_(* #,##0_);_(* \(#,##0\);_(* "-"??_);_(@_)</c:formatCode>
                <c:ptCount val="2"/>
                <c:pt idx="0">
                  <c:v>3337896.49</c:v>
                </c:pt>
                <c:pt idx="1">
                  <c:v>1839493.095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E1-4CFA-8772-BF2BF32578C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0.2429</cdr:x>
      <cdr:y>0</cdr:y>
    </cdr:from>
    <cdr:to>
      <cdr:x>0.95343</cdr:x>
      <cdr:y>0.13358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91763" y="0"/>
          <a:ext cx="2023571" cy="2544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1000" b="1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1000" b="1">
            <a:effectLst/>
          </a:endParaRPr>
        </a:p>
        <a:p xmlns:a="http://schemas.openxmlformats.org/drawingml/2006/main">
          <a:endParaRPr lang="en-US" sz="10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40A0-1277-49F8-999E-AB925866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Lela Phirtskhalaishvili</dc:creator>
  <cp:lastModifiedBy>Irakli Romanadze</cp:lastModifiedBy>
  <cp:revision>2</cp:revision>
  <cp:lastPrinted>2018-11-01T16:50:00Z</cp:lastPrinted>
  <dcterms:created xsi:type="dcterms:W3CDTF">2018-11-01T17:08:00Z</dcterms:created>
  <dcterms:modified xsi:type="dcterms:W3CDTF">2018-11-01T17:08:00Z</dcterms:modified>
</cp:coreProperties>
</file>